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8302F" w14:textId="6F5F2149" w:rsidR="00B83BDD" w:rsidRDefault="00B83BDD" w:rsidP="00B83BDD">
      <w:pPr>
        <w:widowControl w:val="0"/>
        <w:autoSpaceDE w:val="0"/>
        <w:autoSpaceDN w:val="0"/>
        <w:spacing w:before="130"/>
        <w:ind w:left="432" w:right="240" w:hanging="360"/>
        <w:rPr>
          <w:b/>
          <w:bCs/>
          <w:sz w:val="28"/>
          <w:szCs w:val="28"/>
          <w:highlight w:val="lightGray"/>
        </w:rPr>
      </w:pPr>
      <w:r>
        <w:rPr>
          <w:b/>
          <w:bCs/>
          <w:noProof/>
          <w:sz w:val="28"/>
          <w:szCs w:val="28"/>
          <w:highlight w:val="lightGray"/>
        </w:rPr>
        <w:drawing>
          <wp:inline distT="0" distB="0" distL="0" distR="0" wp14:anchorId="432F84BC" wp14:editId="15A4D3D4">
            <wp:extent cx="9906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C57C4" w14:textId="77777777" w:rsidR="00A32CFC" w:rsidRDefault="00A32CFC" w:rsidP="00DA2E87">
      <w:pPr>
        <w:pStyle w:val="BodyText"/>
        <w:spacing w:before="7"/>
        <w:jc w:val="both"/>
      </w:pPr>
    </w:p>
    <w:p w14:paraId="5715A548" w14:textId="77777777" w:rsidR="009E44AE" w:rsidRDefault="009E44AE" w:rsidP="009E44AE">
      <w:pPr>
        <w:jc w:val="both"/>
        <w:rPr>
          <w:rFonts w:eastAsia="Calibri"/>
        </w:rPr>
      </w:pPr>
    </w:p>
    <w:p w14:paraId="7472A9D3" w14:textId="77777777" w:rsidR="009E44AE" w:rsidRDefault="009E44AE" w:rsidP="009E44AE">
      <w:pPr>
        <w:jc w:val="both"/>
        <w:rPr>
          <w:rFonts w:eastAsia="Calibri"/>
        </w:rPr>
      </w:pPr>
    </w:p>
    <w:p w14:paraId="6DE9E85A" w14:textId="77777777" w:rsidR="009E44AE" w:rsidRDefault="009E44AE" w:rsidP="009E44AE">
      <w:pPr>
        <w:jc w:val="both"/>
        <w:rPr>
          <w:rFonts w:eastAsia="Calibri"/>
        </w:rPr>
      </w:pPr>
    </w:p>
    <w:p w14:paraId="4183C9B1" w14:textId="77777777" w:rsidR="009E44AE" w:rsidRDefault="009E44AE" w:rsidP="009E44AE">
      <w:pPr>
        <w:jc w:val="both"/>
        <w:rPr>
          <w:rFonts w:eastAsia="Calibri"/>
        </w:rPr>
      </w:pPr>
    </w:p>
    <w:p w14:paraId="77DD7506" w14:textId="77777777" w:rsidR="009E44AE" w:rsidRDefault="009E44AE" w:rsidP="009E44AE">
      <w:pPr>
        <w:jc w:val="both"/>
        <w:rPr>
          <w:rFonts w:eastAsia="Calibri"/>
        </w:rPr>
      </w:pPr>
    </w:p>
    <w:p w14:paraId="05DF4C56" w14:textId="77777777" w:rsidR="009E44AE" w:rsidRDefault="009E44AE" w:rsidP="009E44AE">
      <w:pPr>
        <w:jc w:val="both"/>
        <w:rPr>
          <w:rFonts w:eastAsia="Calibri"/>
        </w:rPr>
      </w:pPr>
    </w:p>
    <w:p w14:paraId="62803B1C" w14:textId="77777777" w:rsidR="009E44AE" w:rsidRDefault="009E44AE" w:rsidP="009E44AE">
      <w:pPr>
        <w:jc w:val="both"/>
        <w:rPr>
          <w:rFonts w:eastAsia="Calibri"/>
        </w:rPr>
      </w:pPr>
    </w:p>
    <w:p w14:paraId="4D1DF628" w14:textId="77777777" w:rsidR="00E713DA" w:rsidRDefault="00E713DA" w:rsidP="009E44AE">
      <w:pPr>
        <w:jc w:val="both"/>
        <w:rPr>
          <w:rFonts w:eastAsia="Calibri"/>
        </w:rPr>
      </w:pPr>
    </w:p>
    <w:p w14:paraId="722D6BEC" w14:textId="77777777" w:rsidR="00E713DA" w:rsidRDefault="00E713DA" w:rsidP="009E44AE">
      <w:pPr>
        <w:jc w:val="both"/>
        <w:rPr>
          <w:rFonts w:eastAsia="Calibri"/>
        </w:rPr>
      </w:pPr>
    </w:p>
    <w:p w14:paraId="6C688007" w14:textId="77777777" w:rsidR="009E44AE" w:rsidRDefault="009E44AE" w:rsidP="009E44AE">
      <w:pPr>
        <w:jc w:val="both"/>
        <w:rPr>
          <w:rFonts w:eastAsia="Calibri"/>
        </w:rPr>
      </w:pPr>
    </w:p>
    <w:p w14:paraId="00048B1A" w14:textId="77777777" w:rsidR="009E44AE" w:rsidRDefault="009E44AE" w:rsidP="009E44AE">
      <w:pPr>
        <w:jc w:val="both"/>
        <w:rPr>
          <w:rFonts w:eastAsia="Calibri"/>
        </w:rPr>
      </w:pPr>
    </w:p>
    <w:p w14:paraId="49590FFA" w14:textId="77777777" w:rsidR="009E44AE" w:rsidRDefault="009E44AE" w:rsidP="009E44AE">
      <w:pPr>
        <w:jc w:val="both"/>
        <w:rPr>
          <w:rFonts w:eastAsia="Calibri"/>
        </w:rPr>
      </w:pPr>
    </w:p>
    <w:p w14:paraId="78C6D81D" w14:textId="77777777" w:rsidR="009E44AE" w:rsidRDefault="009E44AE" w:rsidP="009E44AE">
      <w:pPr>
        <w:jc w:val="both"/>
        <w:rPr>
          <w:rFonts w:eastAsia="Calibri"/>
        </w:rPr>
      </w:pPr>
    </w:p>
    <w:p w14:paraId="7F5DC69E" w14:textId="77777777" w:rsidR="009E44AE" w:rsidRDefault="009E44AE" w:rsidP="009E44AE">
      <w:pPr>
        <w:rPr>
          <w:b/>
          <w:bCs/>
          <w:sz w:val="28"/>
          <w:szCs w:val="28"/>
        </w:rPr>
      </w:pPr>
    </w:p>
    <w:p w14:paraId="4B99A5CA" w14:textId="6E65300E" w:rsidR="009E44AE" w:rsidRPr="00FF2064" w:rsidRDefault="009E44AE" w:rsidP="009E4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F2064">
        <w:rPr>
          <w:b/>
          <w:bCs/>
          <w:sz w:val="28"/>
          <w:szCs w:val="28"/>
        </w:rPr>
        <w:t>FINANCIJSK</w:t>
      </w:r>
      <w:r w:rsidR="009E7A9D">
        <w:rPr>
          <w:b/>
          <w:bCs/>
          <w:sz w:val="28"/>
          <w:szCs w:val="28"/>
        </w:rPr>
        <w:t>I</w:t>
      </w:r>
      <w:r w:rsidRPr="00FF2064">
        <w:rPr>
          <w:b/>
          <w:bCs/>
          <w:sz w:val="28"/>
          <w:szCs w:val="28"/>
        </w:rPr>
        <w:t xml:space="preserve"> PLAN</w:t>
      </w:r>
    </w:p>
    <w:p w14:paraId="607A231A" w14:textId="77777777" w:rsidR="009E44AE" w:rsidRDefault="009E44AE" w:rsidP="009E44AE">
      <w:pPr>
        <w:jc w:val="center"/>
        <w:rPr>
          <w:b/>
          <w:bCs/>
          <w:sz w:val="28"/>
          <w:szCs w:val="28"/>
        </w:rPr>
      </w:pPr>
    </w:p>
    <w:p w14:paraId="48A18BCA" w14:textId="77777777" w:rsidR="009E44AE" w:rsidRDefault="009E44AE" w:rsidP="009E44AE">
      <w:pPr>
        <w:jc w:val="center"/>
        <w:rPr>
          <w:b/>
          <w:bCs/>
          <w:sz w:val="28"/>
          <w:szCs w:val="28"/>
        </w:rPr>
      </w:pPr>
      <w:r w:rsidRPr="00FF2064">
        <w:rPr>
          <w:b/>
          <w:bCs/>
          <w:sz w:val="28"/>
          <w:szCs w:val="28"/>
        </w:rPr>
        <w:t>ZA RAZDOBLJE</w:t>
      </w:r>
      <w:r>
        <w:rPr>
          <w:b/>
          <w:bCs/>
          <w:sz w:val="28"/>
          <w:szCs w:val="28"/>
        </w:rPr>
        <w:t xml:space="preserve"> 2023.-2025.</w:t>
      </w:r>
    </w:p>
    <w:p w14:paraId="787C9B12" w14:textId="77777777" w:rsidR="009E44AE" w:rsidRPr="00FF2064" w:rsidRDefault="009E44AE" w:rsidP="009E44AE">
      <w:pPr>
        <w:jc w:val="center"/>
        <w:rPr>
          <w:b/>
          <w:bCs/>
          <w:sz w:val="28"/>
          <w:szCs w:val="28"/>
        </w:rPr>
      </w:pPr>
    </w:p>
    <w:p w14:paraId="5F5607CF" w14:textId="77777777" w:rsidR="009E44AE" w:rsidRDefault="009E44AE" w:rsidP="009E44AE">
      <w:pPr>
        <w:jc w:val="center"/>
        <w:rPr>
          <w:b/>
          <w:bCs/>
        </w:rPr>
      </w:pPr>
    </w:p>
    <w:p w14:paraId="02767D39" w14:textId="77777777" w:rsidR="009E44AE" w:rsidRDefault="009E44AE" w:rsidP="009E44AE">
      <w:pPr>
        <w:jc w:val="center"/>
        <w:rPr>
          <w:b/>
          <w:bCs/>
        </w:rPr>
      </w:pPr>
    </w:p>
    <w:p w14:paraId="16AEB233" w14:textId="77777777" w:rsidR="009E44AE" w:rsidRDefault="009E44AE" w:rsidP="009E44AE">
      <w:pPr>
        <w:jc w:val="center"/>
        <w:rPr>
          <w:b/>
          <w:bCs/>
        </w:rPr>
      </w:pPr>
    </w:p>
    <w:p w14:paraId="46F714BD" w14:textId="77777777" w:rsidR="009E44AE" w:rsidRDefault="009E44AE" w:rsidP="009E44AE">
      <w:pPr>
        <w:jc w:val="center"/>
        <w:rPr>
          <w:b/>
          <w:bCs/>
        </w:rPr>
      </w:pPr>
    </w:p>
    <w:p w14:paraId="0FE368B6" w14:textId="77777777" w:rsidR="009E44AE" w:rsidRDefault="009E44AE" w:rsidP="009E44AE">
      <w:pPr>
        <w:jc w:val="center"/>
        <w:rPr>
          <w:b/>
          <w:bCs/>
        </w:rPr>
      </w:pPr>
    </w:p>
    <w:p w14:paraId="2234BDA0" w14:textId="77777777" w:rsidR="009E44AE" w:rsidRDefault="009E44AE" w:rsidP="009E44AE">
      <w:pPr>
        <w:jc w:val="center"/>
        <w:rPr>
          <w:b/>
          <w:bCs/>
        </w:rPr>
      </w:pPr>
    </w:p>
    <w:p w14:paraId="5C5B5CBE" w14:textId="77777777" w:rsidR="009E44AE" w:rsidRDefault="009E44AE" w:rsidP="009E44AE">
      <w:pPr>
        <w:jc w:val="center"/>
        <w:rPr>
          <w:b/>
          <w:bCs/>
        </w:rPr>
      </w:pPr>
    </w:p>
    <w:p w14:paraId="3801D903" w14:textId="77777777" w:rsidR="009E44AE" w:rsidRDefault="009E44AE" w:rsidP="009E44AE">
      <w:pPr>
        <w:jc w:val="center"/>
        <w:rPr>
          <w:b/>
          <w:bCs/>
        </w:rPr>
      </w:pPr>
    </w:p>
    <w:p w14:paraId="39EF28D3" w14:textId="77777777" w:rsidR="009E44AE" w:rsidRDefault="009E44AE" w:rsidP="009E44AE">
      <w:pPr>
        <w:jc w:val="center"/>
        <w:rPr>
          <w:b/>
          <w:bCs/>
        </w:rPr>
      </w:pPr>
    </w:p>
    <w:p w14:paraId="26FDED3D" w14:textId="77777777" w:rsidR="009E44AE" w:rsidRDefault="009E44AE" w:rsidP="009E44AE">
      <w:pPr>
        <w:jc w:val="center"/>
        <w:rPr>
          <w:b/>
          <w:bCs/>
        </w:rPr>
      </w:pPr>
    </w:p>
    <w:p w14:paraId="7682F4AE" w14:textId="77777777" w:rsidR="009E44AE" w:rsidRDefault="009E44AE" w:rsidP="009E44AE">
      <w:pPr>
        <w:jc w:val="center"/>
        <w:rPr>
          <w:b/>
          <w:bCs/>
        </w:rPr>
      </w:pPr>
    </w:p>
    <w:p w14:paraId="18F1A7E8" w14:textId="77777777" w:rsidR="009E44AE" w:rsidRDefault="009E44AE" w:rsidP="009E44AE">
      <w:pPr>
        <w:jc w:val="center"/>
        <w:rPr>
          <w:b/>
          <w:bCs/>
        </w:rPr>
      </w:pPr>
    </w:p>
    <w:p w14:paraId="09C329F4" w14:textId="77777777" w:rsidR="009E44AE" w:rsidRDefault="009E44AE" w:rsidP="009E44AE">
      <w:pPr>
        <w:jc w:val="center"/>
        <w:rPr>
          <w:b/>
          <w:bCs/>
        </w:rPr>
      </w:pPr>
    </w:p>
    <w:p w14:paraId="1F2D31BC" w14:textId="77777777" w:rsidR="009E44AE" w:rsidRDefault="009E44AE" w:rsidP="009E44AE">
      <w:pPr>
        <w:jc w:val="center"/>
        <w:rPr>
          <w:b/>
          <w:bCs/>
        </w:rPr>
      </w:pPr>
    </w:p>
    <w:p w14:paraId="23D9C6B3" w14:textId="77777777" w:rsidR="009E44AE" w:rsidRDefault="009E44AE" w:rsidP="009E44AE">
      <w:pPr>
        <w:jc w:val="center"/>
        <w:rPr>
          <w:b/>
          <w:bCs/>
        </w:rPr>
      </w:pPr>
    </w:p>
    <w:p w14:paraId="74A88CDA" w14:textId="77777777" w:rsidR="009E44AE" w:rsidRDefault="009E44AE" w:rsidP="009E44AE">
      <w:pPr>
        <w:jc w:val="center"/>
        <w:rPr>
          <w:b/>
          <w:bCs/>
        </w:rPr>
      </w:pPr>
    </w:p>
    <w:p w14:paraId="01308082" w14:textId="77777777" w:rsidR="009E44AE" w:rsidRDefault="009E44AE" w:rsidP="009E44AE">
      <w:pPr>
        <w:jc w:val="center"/>
        <w:rPr>
          <w:b/>
          <w:bCs/>
        </w:rPr>
      </w:pPr>
    </w:p>
    <w:p w14:paraId="3CBEB1B3" w14:textId="77777777" w:rsidR="009E44AE" w:rsidRDefault="009E44AE" w:rsidP="009E44AE">
      <w:pPr>
        <w:jc w:val="center"/>
        <w:rPr>
          <w:b/>
          <w:bCs/>
        </w:rPr>
      </w:pPr>
    </w:p>
    <w:p w14:paraId="7AB3FBE3" w14:textId="77777777" w:rsidR="009E44AE" w:rsidRDefault="009E44AE" w:rsidP="009E44AE">
      <w:pPr>
        <w:jc w:val="center"/>
        <w:rPr>
          <w:b/>
          <w:bCs/>
        </w:rPr>
      </w:pPr>
    </w:p>
    <w:p w14:paraId="65D3334A" w14:textId="77777777" w:rsidR="009E44AE" w:rsidRDefault="009E44AE" w:rsidP="009E44AE">
      <w:pPr>
        <w:jc w:val="center"/>
        <w:rPr>
          <w:b/>
          <w:bCs/>
        </w:rPr>
      </w:pPr>
    </w:p>
    <w:p w14:paraId="72639996" w14:textId="77777777" w:rsidR="009E44AE" w:rsidRDefault="009E44AE" w:rsidP="009E44AE">
      <w:pPr>
        <w:jc w:val="center"/>
        <w:rPr>
          <w:b/>
          <w:bCs/>
        </w:rPr>
      </w:pPr>
    </w:p>
    <w:p w14:paraId="72080B6C" w14:textId="77777777" w:rsidR="009E44AE" w:rsidRDefault="009E44AE" w:rsidP="009E44AE">
      <w:pPr>
        <w:jc w:val="center"/>
        <w:rPr>
          <w:b/>
          <w:bCs/>
        </w:rPr>
      </w:pPr>
    </w:p>
    <w:p w14:paraId="39AB18DC" w14:textId="77777777" w:rsidR="009E44AE" w:rsidRDefault="009E44AE" w:rsidP="009E44AE">
      <w:pPr>
        <w:jc w:val="center"/>
        <w:rPr>
          <w:b/>
          <w:bCs/>
        </w:rPr>
      </w:pPr>
    </w:p>
    <w:p w14:paraId="73E575AD" w14:textId="77777777" w:rsidR="009E44AE" w:rsidRDefault="009E44AE" w:rsidP="009E44AE">
      <w:pPr>
        <w:jc w:val="center"/>
        <w:rPr>
          <w:b/>
          <w:bCs/>
        </w:rPr>
      </w:pPr>
    </w:p>
    <w:p w14:paraId="44E0722C" w14:textId="77777777" w:rsidR="009E44AE" w:rsidRDefault="009E44AE" w:rsidP="009E44AE">
      <w:pPr>
        <w:jc w:val="center"/>
        <w:rPr>
          <w:b/>
          <w:bCs/>
        </w:rPr>
      </w:pPr>
    </w:p>
    <w:p w14:paraId="4BFA1658" w14:textId="444D5418" w:rsidR="00BF0699" w:rsidRDefault="00510E9C" w:rsidP="00510E9C">
      <w:pPr>
        <w:jc w:val="center"/>
        <w:rPr>
          <w:b/>
          <w:bCs/>
        </w:rPr>
      </w:pPr>
      <w:r>
        <w:rPr>
          <w:b/>
          <w:bCs/>
        </w:rPr>
        <w:t>Z</w:t>
      </w:r>
      <w:r w:rsidR="0047416C">
        <w:rPr>
          <w:b/>
          <w:bCs/>
        </w:rPr>
        <w:t xml:space="preserve">agreb, </w:t>
      </w:r>
      <w:r w:rsidR="00E205E5">
        <w:rPr>
          <w:b/>
          <w:bCs/>
        </w:rPr>
        <w:t>prosinac</w:t>
      </w:r>
      <w:r>
        <w:rPr>
          <w:b/>
          <w:bCs/>
        </w:rPr>
        <w:t xml:space="preserve"> 2022.</w:t>
      </w:r>
    </w:p>
    <w:p w14:paraId="13540317" w14:textId="71D6841D" w:rsidR="00C66247" w:rsidRDefault="00596ECF" w:rsidP="00BD2828">
      <w:pPr>
        <w:jc w:val="center"/>
        <w:rPr>
          <w:b/>
          <w:bCs/>
          <w:sz w:val="28"/>
          <w:szCs w:val="28"/>
        </w:rPr>
      </w:pPr>
      <w:r w:rsidRPr="00C66247">
        <w:rPr>
          <w:b/>
          <w:bCs/>
          <w:sz w:val="28"/>
          <w:szCs w:val="28"/>
        </w:rPr>
        <w:lastRenderedPageBreak/>
        <w:t>OBRAZLOŽENJE OPĆEG DIJELA</w:t>
      </w:r>
      <w:r w:rsidR="00BD2828">
        <w:rPr>
          <w:b/>
          <w:bCs/>
          <w:sz w:val="28"/>
          <w:szCs w:val="28"/>
        </w:rPr>
        <w:t xml:space="preserve"> FINANCIJSKOG PLANA</w:t>
      </w:r>
    </w:p>
    <w:p w14:paraId="40E63AB8" w14:textId="77777777" w:rsidR="00BD2828" w:rsidRPr="00C66247" w:rsidRDefault="00BD2828" w:rsidP="00BD2828">
      <w:pPr>
        <w:jc w:val="center"/>
        <w:rPr>
          <w:b/>
          <w:bCs/>
          <w:sz w:val="28"/>
          <w:szCs w:val="28"/>
        </w:rPr>
      </w:pPr>
    </w:p>
    <w:p w14:paraId="3BD17711" w14:textId="77777777" w:rsidR="00BF0699" w:rsidRDefault="00BF0699" w:rsidP="009E44AE">
      <w:pPr>
        <w:jc w:val="both"/>
        <w:rPr>
          <w:b/>
          <w:bCs/>
        </w:rPr>
      </w:pPr>
    </w:p>
    <w:p w14:paraId="29240DCF" w14:textId="54381E23" w:rsidR="009E44AE" w:rsidRPr="00CA52E5" w:rsidRDefault="009E44AE" w:rsidP="009E44AE">
      <w:pPr>
        <w:jc w:val="both"/>
        <w:rPr>
          <w:b/>
          <w:bCs/>
        </w:rPr>
      </w:pPr>
      <w:r w:rsidRPr="00CA52E5">
        <w:rPr>
          <w:b/>
          <w:bCs/>
        </w:rPr>
        <w:t>Uvod</w:t>
      </w:r>
    </w:p>
    <w:p w14:paraId="4167A4AC" w14:textId="77777777" w:rsidR="000D17D8" w:rsidRDefault="000D17D8" w:rsidP="009E44AE">
      <w:pPr>
        <w:jc w:val="both"/>
      </w:pPr>
    </w:p>
    <w:p w14:paraId="1B2207C1" w14:textId="5BEA2A5A" w:rsidR="009E44AE" w:rsidRPr="00F80A99" w:rsidRDefault="009E44AE" w:rsidP="009E44AE">
      <w:pPr>
        <w:jc w:val="both"/>
      </w:pPr>
      <w:r w:rsidRPr="00F80A99">
        <w:t xml:space="preserve">Ukupni </w:t>
      </w:r>
      <w:r>
        <w:t xml:space="preserve">plan </w:t>
      </w:r>
      <w:r w:rsidRPr="00F80A99">
        <w:t>prihod</w:t>
      </w:r>
      <w:r>
        <w:t xml:space="preserve">a </w:t>
      </w:r>
      <w:r w:rsidRPr="00F80A99">
        <w:t>i primi</w:t>
      </w:r>
      <w:r>
        <w:t>taka</w:t>
      </w:r>
      <w:r w:rsidRPr="00F80A99">
        <w:t xml:space="preserve"> te rashod</w:t>
      </w:r>
      <w:r>
        <w:t>a</w:t>
      </w:r>
      <w:r w:rsidRPr="00F80A99">
        <w:t xml:space="preserve"> i izda</w:t>
      </w:r>
      <w:r>
        <w:t>taka</w:t>
      </w:r>
      <w:r w:rsidRPr="00F80A99">
        <w:t xml:space="preserve"> </w:t>
      </w:r>
      <w:r w:rsidRPr="00A53FAE">
        <w:t xml:space="preserve">Fonda za obnovu </w:t>
      </w:r>
      <w:r>
        <w:t xml:space="preserve">Grada Zagreba, Krapinsko-zagorske županije i Zagrebačke županije </w:t>
      </w:r>
      <w:r w:rsidRPr="00966CAA">
        <w:rPr>
          <w:rFonts w:eastAsia="Times New Roman"/>
          <w:lang w:eastAsia="hr-HR"/>
        </w:rPr>
        <w:t>(dalje u tekstu: Fond za obnovu)</w:t>
      </w:r>
      <w:r>
        <w:rPr>
          <w:rFonts w:eastAsia="Times New Roman"/>
          <w:lang w:eastAsia="hr-HR"/>
        </w:rPr>
        <w:t xml:space="preserve"> za razdoblje 2023.-2025. prikazan je </w:t>
      </w:r>
      <w:r w:rsidR="00B61E6B">
        <w:rPr>
          <w:rFonts w:eastAsia="Times New Roman"/>
          <w:lang w:eastAsia="hr-HR"/>
        </w:rPr>
        <w:t xml:space="preserve">općem dijelu </w:t>
      </w:r>
      <w:r>
        <w:rPr>
          <w:rFonts w:eastAsia="Times New Roman"/>
          <w:lang w:eastAsia="hr-HR"/>
        </w:rPr>
        <w:t xml:space="preserve">u sažetku računa prihoda </w:t>
      </w:r>
      <w:r w:rsidR="00AC6069">
        <w:rPr>
          <w:rFonts w:eastAsia="Times New Roman"/>
          <w:lang w:eastAsia="hr-HR"/>
        </w:rPr>
        <w:t>i</w:t>
      </w:r>
      <w:r>
        <w:rPr>
          <w:rFonts w:eastAsia="Times New Roman"/>
          <w:lang w:eastAsia="hr-HR"/>
        </w:rPr>
        <w:t xml:space="preserve"> rashoda (Prilog 1.), a u nastavku dajemo posebno obrazloženje prihoda i primitaka te rashoda i izdataka za predmetno razdoblje, kao i stanje obveza na dane 31. prosinca 2021. i 30. lipnja 2022. godine.</w:t>
      </w:r>
    </w:p>
    <w:p w14:paraId="0390456B" w14:textId="77777777" w:rsidR="009E44AE" w:rsidRPr="00B0690A" w:rsidRDefault="009E44AE" w:rsidP="009E44AE">
      <w:pPr>
        <w:jc w:val="both"/>
        <w:rPr>
          <w:b/>
          <w:bCs/>
          <w:sz w:val="28"/>
        </w:rPr>
      </w:pPr>
    </w:p>
    <w:p w14:paraId="50C3C63A" w14:textId="77777777" w:rsidR="009E44AE" w:rsidRPr="00B0690A" w:rsidRDefault="009E44AE" w:rsidP="009E44AE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B0690A">
        <w:rPr>
          <w:b/>
          <w:bCs/>
        </w:rPr>
        <w:t>Prihodi i primici</w:t>
      </w:r>
    </w:p>
    <w:p w14:paraId="01988D4B" w14:textId="77777777" w:rsidR="009E44AE" w:rsidRPr="00A53FAE" w:rsidRDefault="009E44AE" w:rsidP="009E44AE">
      <w:pPr>
        <w:jc w:val="both"/>
      </w:pPr>
    </w:p>
    <w:p w14:paraId="54713124" w14:textId="65189A76" w:rsidR="009E44AE" w:rsidRPr="00260C80" w:rsidRDefault="009E44AE" w:rsidP="009E44AE">
      <w:pPr>
        <w:jc w:val="both"/>
        <w:rPr>
          <w:rFonts w:eastAsia="Times New Roman"/>
          <w:lang w:eastAsia="hr-HR"/>
        </w:rPr>
      </w:pPr>
      <w:r w:rsidRPr="00260C80">
        <w:t xml:space="preserve">Ukupni prihodi i primici Fonda za obnovu </w:t>
      </w:r>
      <w:r w:rsidRPr="00260C80">
        <w:rPr>
          <w:rFonts w:eastAsia="Times New Roman"/>
          <w:lang w:eastAsia="hr-HR"/>
        </w:rPr>
        <w:t>za razdoblje 2023.-2025. planirani su u iznosu od 1</w:t>
      </w:r>
      <w:r w:rsidR="00974551" w:rsidRPr="00260C80">
        <w:rPr>
          <w:rFonts w:eastAsia="Times New Roman"/>
          <w:lang w:eastAsia="hr-HR"/>
        </w:rPr>
        <w:t>4</w:t>
      </w:r>
      <w:r w:rsidR="000C3EF5" w:rsidRPr="00260C80">
        <w:rPr>
          <w:rFonts w:eastAsia="Times New Roman"/>
          <w:lang w:eastAsia="hr-HR"/>
        </w:rPr>
        <w:t>3</w:t>
      </w:r>
      <w:r w:rsidRPr="00260C80">
        <w:rPr>
          <w:rFonts w:eastAsia="Times New Roman"/>
          <w:lang w:eastAsia="hr-HR"/>
        </w:rPr>
        <w:t>.</w:t>
      </w:r>
      <w:r w:rsidR="00974551" w:rsidRPr="00260C80">
        <w:rPr>
          <w:rFonts w:eastAsia="Times New Roman"/>
          <w:lang w:eastAsia="hr-HR"/>
        </w:rPr>
        <w:t>303.200</w:t>
      </w:r>
      <w:r w:rsidRPr="00260C80">
        <w:rPr>
          <w:rFonts w:eastAsia="Times New Roman"/>
          <w:lang w:eastAsia="hr-HR"/>
        </w:rPr>
        <w:t xml:space="preserve"> EUR za 2023., 229.423.09</w:t>
      </w:r>
      <w:r w:rsidR="00AE28B5" w:rsidRPr="00260C80">
        <w:rPr>
          <w:rFonts w:eastAsia="Times New Roman"/>
          <w:lang w:eastAsia="hr-HR"/>
        </w:rPr>
        <w:t>4</w:t>
      </w:r>
      <w:r w:rsidRPr="00260C80">
        <w:rPr>
          <w:rFonts w:eastAsia="Times New Roman"/>
          <w:lang w:eastAsia="hr-HR"/>
        </w:rPr>
        <w:t xml:space="preserve"> EUR za 2024. i 260.855.96</w:t>
      </w:r>
      <w:r w:rsidR="00AE28B5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 xml:space="preserve"> EUR za 2025. godinu. </w:t>
      </w:r>
    </w:p>
    <w:p w14:paraId="15770314" w14:textId="77777777" w:rsidR="009E44AE" w:rsidRPr="00260C80" w:rsidRDefault="009E44AE" w:rsidP="009E44AE">
      <w:pPr>
        <w:jc w:val="both"/>
        <w:rPr>
          <w:rFonts w:eastAsia="Times New Roman"/>
          <w:lang w:eastAsia="hr-HR"/>
        </w:rPr>
      </w:pPr>
    </w:p>
    <w:p w14:paraId="11BDE2C5" w14:textId="4D0ABC75" w:rsidR="009E44AE" w:rsidRPr="00260C80" w:rsidRDefault="009E44AE" w:rsidP="009E44AE">
      <w:pPr>
        <w:jc w:val="both"/>
        <w:rPr>
          <w:rFonts w:eastAsia="Times New Roman"/>
          <w:lang w:eastAsia="hr-HR"/>
        </w:rPr>
      </w:pPr>
      <w:r w:rsidRPr="00260C80">
        <w:rPr>
          <w:rFonts w:eastAsia="Times New Roman"/>
          <w:lang w:eastAsia="hr-HR"/>
        </w:rPr>
        <w:t xml:space="preserve">Planirani prihodi su u cijelosti prihodi poslovanja kako je i prikazano u općem dijelu računa prihoda i rashoda (Prilog 2.). Navedeni prihodi ostvaruju se od pomoći iz inozemstva i od subjekata unutar općeg proračuna te od prihoda iz nadležnog proračuna i od HZZO-a temeljem ugovornih obveza. Prihodi od pomoći iz inozemstva i od subjekata unutar općeg proračuna planirani su u iznosu od </w:t>
      </w:r>
      <w:r w:rsidR="00BF3620" w:rsidRPr="00260C80">
        <w:rPr>
          <w:rFonts w:eastAsia="Times New Roman"/>
          <w:lang w:eastAsia="hr-HR"/>
        </w:rPr>
        <w:t>3</w:t>
      </w:r>
      <w:r w:rsidR="00822174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>.</w:t>
      </w:r>
      <w:r w:rsidR="00BF3620" w:rsidRPr="00260C80">
        <w:rPr>
          <w:rFonts w:eastAsia="Times New Roman"/>
          <w:lang w:eastAsia="hr-HR"/>
        </w:rPr>
        <w:t>008</w:t>
      </w:r>
      <w:r w:rsidRPr="00260C80">
        <w:rPr>
          <w:rFonts w:eastAsia="Times New Roman"/>
          <w:lang w:eastAsia="hr-HR"/>
        </w:rPr>
        <w:t>.</w:t>
      </w:r>
      <w:r w:rsidR="00566490" w:rsidRPr="00260C80">
        <w:rPr>
          <w:rFonts w:eastAsia="Times New Roman"/>
          <w:lang w:eastAsia="hr-HR"/>
        </w:rPr>
        <w:t>322</w:t>
      </w:r>
      <w:r w:rsidRPr="00260C80">
        <w:rPr>
          <w:rFonts w:eastAsia="Times New Roman"/>
          <w:lang w:eastAsia="hr-HR"/>
        </w:rPr>
        <w:t xml:space="preserve"> EUR za 2023. godinu te čine </w:t>
      </w:r>
      <w:r w:rsidR="00283829" w:rsidRPr="00260C80">
        <w:rPr>
          <w:rFonts w:eastAsia="Times New Roman"/>
          <w:lang w:eastAsia="hr-HR"/>
        </w:rPr>
        <w:t>27,28</w:t>
      </w:r>
      <w:r w:rsidRPr="00260C80">
        <w:rPr>
          <w:rFonts w:eastAsia="Times New Roman"/>
          <w:lang w:eastAsia="hr-HR"/>
        </w:rPr>
        <w:t>% prihoda poslovanja, dok se 104.214.878 EUR odnosno 7</w:t>
      </w:r>
      <w:r w:rsidR="00283829" w:rsidRPr="00260C80">
        <w:rPr>
          <w:rFonts w:eastAsia="Times New Roman"/>
          <w:lang w:eastAsia="hr-HR"/>
        </w:rPr>
        <w:t>2</w:t>
      </w:r>
      <w:r w:rsidRPr="00260C80">
        <w:rPr>
          <w:rFonts w:eastAsia="Times New Roman"/>
          <w:lang w:eastAsia="hr-HR"/>
        </w:rPr>
        <w:t>,</w:t>
      </w:r>
      <w:r w:rsidR="00283829" w:rsidRPr="00260C80">
        <w:rPr>
          <w:rFonts w:eastAsia="Times New Roman"/>
          <w:lang w:eastAsia="hr-HR"/>
        </w:rPr>
        <w:t>72</w:t>
      </w:r>
      <w:r w:rsidRPr="00260C80">
        <w:rPr>
          <w:rFonts w:eastAsia="Times New Roman"/>
          <w:lang w:eastAsia="hr-HR"/>
        </w:rPr>
        <w:t>% navedenih prihoda odnosi na prihode iz nadležnog proračuna i od HZZO-a temeljem ugovornih obveza. Za 2024. godinu 44.842.299 EUR se odnosi na prihode od pomoći iz inozemstva i od subjekata unutar općeg proračuna što predstavlja 19,55% prihoda poslovanja, a 184.580.79</w:t>
      </w:r>
      <w:r w:rsidR="00416FF9" w:rsidRPr="00260C80">
        <w:rPr>
          <w:rFonts w:eastAsia="Times New Roman"/>
          <w:lang w:eastAsia="hr-HR"/>
        </w:rPr>
        <w:t>5</w:t>
      </w:r>
      <w:r w:rsidRPr="00260C80">
        <w:rPr>
          <w:rFonts w:eastAsia="Times New Roman"/>
          <w:lang w:eastAsia="hr-HR"/>
        </w:rPr>
        <w:t xml:space="preserve"> EUR odnosno 80,45% navedenih prihoda se odnosi na prihode iz nadležnog proračuna i od HZZO-a temeljem ugovornih obveza. Za 2025. godinu 49.358.059 EUR se odnosi na prihode od pomoći iz inozemstva i od subjekata unutar općeg proračuna što predstavlja 18,92% prihoda poslovanja, a 211.497.9</w:t>
      </w:r>
      <w:r w:rsidR="007D0041" w:rsidRPr="00260C80">
        <w:rPr>
          <w:rFonts w:eastAsia="Times New Roman"/>
          <w:lang w:eastAsia="hr-HR"/>
        </w:rPr>
        <w:t>10</w:t>
      </w:r>
      <w:r w:rsidRPr="00260C80">
        <w:rPr>
          <w:rFonts w:eastAsia="Times New Roman"/>
          <w:lang w:eastAsia="hr-HR"/>
        </w:rPr>
        <w:t xml:space="preserve"> EUR odnosno 81,08% navedenih prihoda se odnosi na prihode iz nadležnog proračuna i od HZZO-a temeljem ugovornih obveza.</w:t>
      </w:r>
    </w:p>
    <w:p w14:paraId="1F3C417B" w14:textId="77777777" w:rsidR="00BB3013" w:rsidRPr="00260C80" w:rsidRDefault="00BB3013" w:rsidP="009E44AE">
      <w:pPr>
        <w:jc w:val="both"/>
        <w:rPr>
          <w:rFonts w:eastAsia="Times New Roman"/>
          <w:lang w:eastAsia="hr-HR"/>
        </w:rPr>
      </w:pPr>
    </w:p>
    <w:p w14:paraId="7C696088" w14:textId="54494845" w:rsidR="009E44AE" w:rsidRPr="00260C80" w:rsidRDefault="009E44AE" w:rsidP="009E44AE">
      <w:pPr>
        <w:jc w:val="both"/>
        <w:rPr>
          <w:rFonts w:eastAsia="Times New Roman"/>
          <w:lang w:eastAsia="hr-HR"/>
        </w:rPr>
      </w:pPr>
      <w:r w:rsidRPr="00260C80">
        <w:rPr>
          <w:rFonts w:eastAsia="Times New Roman"/>
          <w:lang w:eastAsia="hr-HR"/>
        </w:rPr>
        <w:t xml:space="preserve">Prihodi od pomoći iz inozemstva i od subjekata unutar općeg proračuna u 2023. godini planirani su na izvoru 52 – Ostale pomoći i darovnice (dalje u tekstu: izvor 52) u iznosu od 20.677.457 EUR odnosno </w:t>
      </w:r>
      <w:r w:rsidR="00390971" w:rsidRPr="00260C80">
        <w:rPr>
          <w:rFonts w:eastAsia="Times New Roman"/>
          <w:lang w:eastAsia="hr-HR"/>
        </w:rPr>
        <w:t>52</w:t>
      </w:r>
      <w:r w:rsidRPr="00260C80">
        <w:rPr>
          <w:rFonts w:eastAsia="Times New Roman"/>
          <w:lang w:eastAsia="hr-HR"/>
        </w:rPr>
        <w:t>,</w:t>
      </w:r>
      <w:r w:rsidR="00390971" w:rsidRPr="00260C80">
        <w:rPr>
          <w:rFonts w:eastAsia="Times New Roman"/>
          <w:lang w:eastAsia="hr-HR"/>
        </w:rPr>
        <w:t>90</w:t>
      </w:r>
      <w:r w:rsidRPr="00260C80">
        <w:rPr>
          <w:rFonts w:eastAsia="Times New Roman"/>
          <w:lang w:eastAsia="hr-HR"/>
        </w:rPr>
        <w:t xml:space="preserve">%, na izvoru 5761 – Fond solidarnosti Europske unije – potres ožujak 2020. (dalje u tekstu: izvor 5761) u iznosu od </w:t>
      </w:r>
      <w:r w:rsidR="005E3F0F" w:rsidRPr="00260C80">
        <w:rPr>
          <w:rFonts w:eastAsia="Times New Roman"/>
          <w:lang w:eastAsia="hr-HR"/>
        </w:rPr>
        <w:t>12</w:t>
      </w:r>
      <w:r w:rsidRPr="00260C80">
        <w:rPr>
          <w:rFonts w:eastAsia="Times New Roman"/>
          <w:lang w:eastAsia="hr-HR"/>
        </w:rPr>
        <w:t>.</w:t>
      </w:r>
      <w:r w:rsidR="005E3F0F" w:rsidRPr="00260C80">
        <w:rPr>
          <w:rFonts w:eastAsia="Times New Roman"/>
          <w:lang w:eastAsia="hr-HR"/>
        </w:rPr>
        <w:t>040.170</w:t>
      </w:r>
      <w:r w:rsidRPr="00260C80">
        <w:rPr>
          <w:rFonts w:eastAsia="Times New Roman"/>
          <w:lang w:eastAsia="hr-HR"/>
        </w:rPr>
        <w:t xml:space="preserve"> EUR odnosno </w:t>
      </w:r>
      <w:r w:rsidR="009641E6" w:rsidRPr="00260C80">
        <w:rPr>
          <w:rFonts w:eastAsia="Times New Roman"/>
          <w:lang w:eastAsia="hr-HR"/>
        </w:rPr>
        <w:t>30</w:t>
      </w:r>
      <w:r w:rsidRPr="00260C80">
        <w:rPr>
          <w:rFonts w:eastAsia="Times New Roman"/>
          <w:lang w:eastAsia="hr-HR"/>
        </w:rPr>
        <w:t>,</w:t>
      </w:r>
      <w:r w:rsidR="00EC5612" w:rsidRPr="00260C80">
        <w:rPr>
          <w:rFonts w:eastAsia="Times New Roman"/>
          <w:lang w:eastAsia="hr-HR"/>
        </w:rPr>
        <w:t>8</w:t>
      </w:r>
      <w:r w:rsidR="009641E6" w:rsidRPr="00260C80">
        <w:rPr>
          <w:rFonts w:eastAsia="Times New Roman"/>
          <w:lang w:eastAsia="hr-HR"/>
        </w:rPr>
        <w:t>0</w:t>
      </w:r>
      <w:r w:rsidRPr="00260C80">
        <w:rPr>
          <w:rFonts w:eastAsia="Times New Roman"/>
          <w:lang w:eastAsia="hr-HR"/>
        </w:rPr>
        <w:t xml:space="preserve">% te na izvoru 581 – Mehanizam za oporavak i otpornost (dalje u tekstu: izvor 581) u iznosu od </w:t>
      </w:r>
      <w:r w:rsidR="002A33CD" w:rsidRPr="00260C80">
        <w:rPr>
          <w:rFonts w:eastAsia="Times New Roman"/>
          <w:lang w:eastAsia="hr-HR"/>
        </w:rPr>
        <w:t>6.370.695</w:t>
      </w:r>
      <w:r w:rsidRPr="00260C80">
        <w:rPr>
          <w:rFonts w:eastAsia="Times New Roman"/>
          <w:lang w:eastAsia="hr-HR"/>
        </w:rPr>
        <w:t xml:space="preserve"> EUR odnosno čine </w:t>
      </w:r>
      <w:r w:rsidR="009641E6" w:rsidRPr="00260C80">
        <w:rPr>
          <w:rFonts w:eastAsia="Times New Roman"/>
          <w:lang w:eastAsia="hr-HR"/>
        </w:rPr>
        <w:t>16,</w:t>
      </w:r>
      <w:r w:rsidR="007D4600" w:rsidRPr="00260C80">
        <w:rPr>
          <w:rFonts w:eastAsia="Times New Roman"/>
          <w:lang w:eastAsia="hr-HR"/>
        </w:rPr>
        <w:t>30</w:t>
      </w:r>
      <w:r w:rsidRPr="00260C80">
        <w:rPr>
          <w:rFonts w:eastAsia="Times New Roman"/>
          <w:lang w:eastAsia="hr-HR"/>
        </w:rPr>
        <w:t>% navedenih prihoda. Za 2024. godinu prihodi od pomoći iz inozemstva i od subjekata unutar općeg proračuna planirani su na izvoru 52 – Ostale pomoći i darovnice u iznosu od 36.878.930 EUR odnosno 82,24% i na izvoru 581 – Mehanizam za oporavak i otpornost u iznosu od 7.963.36</w:t>
      </w:r>
      <w:r w:rsidR="009F321F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 xml:space="preserve"> EUR odnosno čine 17,76% navedenih prihoda, dok su isti za 2025. godinu planirani na izvoru 52 – Ostale pomoći i darovnice u iznosu od 42.390.112 EUR odnosno 85,88% i na izvoru 581 – Mehanizam za oporavak i otpornost u iznosu od 6.967.947 EUR odnosno čine 14,12% prihoda od pomoći iz inozemstva i od subjekata unutar općeg proračuna.</w:t>
      </w:r>
    </w:p>
    <w:p w14:paraId="71A94008" w14:textId="77777777" w:rsidR="009E44AE" w:rsidRPr="00260C80" w:rsidRDefault="009E44AE" w:rsidP="009E44AE">
      <w:pPr>
        <w:jc w:val="both"/>
        <w:rPr>
          <w:rFonts w:eastAsia="Times New Roman"/>
          <w:lang w:eastAsia="hr-HR"/>
        </w:rPr>
      </w:pPr>
    </w:p>
    <w:p w14:paraId="050A7237" w14:textId="7CB7E922" w:rsidR="009E44AE" w:rsidRPr="00260C80" w:rsidRDefault="009E44AE" w:rsidP="009E44AE">
      <w:pPr>
        <w:jc w:val="both"/>
        <w:rPr>
          <w:rFonts w:eastAsia="Calibri"/>
        </w:rPr>
      </w:pPr>
      <w:r w:rsidRPr="00260C80">
        <w:rPr>
          <w:rFonts w:eastAsia="Times New Roman"/>
          <w:lang w:eastAsia="hr-HR"/>
        </w:rPr>
        <w:t xml:space="preserve">Prihodi na izvoru 52 planiraju se ostvariti iz JLP(R)S refundacijama od strane suosnivača Fonda za obnovu temeljem </w:t>
      </w:r>
      <w:bookmarkStart w:id="0" w:name="_Hlk115441015"/>
      <w:r w:rsidRPr="00260C80">
        <w:rPr>
          <w:rFonts w:eastAsia="Times New Roman"/>
          <w:lang w:eastAsia="hr-HR"/>
        </w:rPr>
        <w:t>Ugovora o osnivanju i Zakona o obnovi</w:t>
      </w:r>
      <w:bookmarkEnd w:id="0"/>
      <w:r w:rsidRPr="00260C80">
        <w:rPr>
          <w:rFonts w:eastAsia="Times New Roman"/>
          <w:lang w:eastAsia="hr-HR"/>
        </w:rPr>
        <w:t xml:space="preserve">, prihodi na izvoru 5761 planirani su temeljem </w:t>
      </w:r>
      <w:r w:rsidRPr="00260C80">
        <w:rPr>
          <w:rFonts w:eastAsia="Calibri"/>
        </w:rPr>
        <w:t xml:space="preserve">Odluke o načinu raspodjele bespovratnih financijskih sredstava iz Fonda solidarnosti Europske unije odobrenih za financiranje sanacije šteta od potresa na području Grada Zagreba, Krapinsko-zagorske županije i Zagrebačke županije, imenovanju i određivanju </w:t>
      </w:r>
      <w:r w:rsidRPr="00260C80">
        <w:rPr>
          <w:rFonts w:eastAsia="Calibri"/>
        </w:rPr>
        <w:lastRenderedPageBreak/>
        <w:t xml:space="preserve">zaduženja nacionalnog koordinacijskog tijela, tijela odgovornih za provedbu financijskog doprinosa i neovisnog revizorskog tijela, dok su prihodi na izvoru </w:t>
      </w:r>
      <w:r w:rsidRPr="00260C80">
        <w:rPr>
          <w:rFonts w:eastAsia="Times New Roman"/>
          <w:lang w:eastAsia="hr-HR"/>
        </w:rPr>
        <w:t xml:space="preserve">581 planirani temeljem </w:t>
      </w:r>
      <w:r w:rsidRPr="00260C80">
        <w:rPr>
          <w:rFonts w:eastAsia="Calibri"/>
        </w:rPr>
        <w:t>Odluke o sustavu upravljanja i praćenja provedbe aktivnosti u okviru Nacionalnog plana oporavka i otpornosti 2021. – 2026.</w:t>
      </w:r>
    </w:p>
    <w:p w14:paraId="3677BDDB" w14:textId="77777777" w:rsidR="00274039" w:rsidRPr="00260C80" w:rsidRDefault="00274039" w:rsidP="009E44AE">
      <w:pPr>
        <w:jc w:val="both"/>
        <w:rPr>
          <w:rFonts w:eastAsia="Calibri"/>
        </w:rPr>
      </w:pPr>
    </w:p>
    <w:p w14:paraId="7CCC4C78" w14:textId="103B0163" w:rsidR="009E44AE" w:rsidRPr="00260C80" w:rsidRDefault="009E44AE" w:rsidP="009E44AE">
      <w:pPr>
        <w:jc w:val="both"/>
        <w:rPr>
          <w:rFonts w:eastAsia="Times New Roman"/>
          <w:lang w:eastAsia="hr-HR"/>
        </w:rPr>
      </w:pPr>
      <w:r w:rsidRPr="00260C80">
        <w:t xml:space="preserve">Prihodi iz nadležnog proračuna i od HZZO-a temeljem ugovornih obveza </w:t>
      </w:r>
      <w:r w:rsidRPr="00260C80">
        <w:rPr>
          <w:rFonts w:eastAsia="Times New Roman"/>
          <w:lang w:eastAsia="hr-HR"/>
        </w:rPr>
        <w:t xml:space="preserve">planirani su na izvoru 11 – Opći prihodi i primici (dalje u tekstu: izvor 11) u 2023. u iznosu od 104.214.878 EUR, u 2024. u iznosu od </w:t>
      </w:r>
      <w:r w:rsidR="0090149B" w:rsidRPr="00260C80">
        <w:rPr>
          <w:rFonts w:eastAsia="Times New Roman"/>
          <w:lang w:eastAsia="hr-HR"/>
        </w:rPr>
        <w:t>1</w:t>
      </w:r>
      <w:r w:rsidRPr="00260C80">
        <w:rPr>
          <w:rFonts w:eastAsia="Times New Roman"/>
          <w:lang w:eastAsia="hr-HR"/>
        </w:rPr>
        <w:t>84.580.79</w:t>
      </w:r>
      <w:r w:rsidR="00FB41F6" w:rsidRPr="00260C80">
        <w:rPr>
          <w:rFonts w:eastAsia="Times New Roman"/>
          <w:lang w:eastAsia="hr-HR"/>
        </w:rPr>
        <w:t>5</w:t>
      </w:r>
      <w:r w:rsidRPr="00260C80">
        <w:rPr>
          <w:rFonts w:eastAsia="Times New Roman"/>
          <w:lang w:eastAsia="hr-HR"/>
        </w:rPr>
        <w:t xml:space="preserve"> EUR te u 2025. godini u iznosu od 211.497.9</w:t>
      </w:r>
      <w:r w:rsidR="00315C8B" w:rsidRPr="00260C80">
        <w:rPr>
          <w:rFonts w:eastAsia="Times New Roman"/>
          <w:lang w:eastAsia="hr-HR"/>
        </w:rPr>
        <w:t>1</w:t>
      </w:r>
      <w:r w:rsidRPr="00260C80">
        <w:rPr>
          <w:rFonts w:eastAsia="Times New Roman"/>
          <w:lang w:eastAsia="hr-HR"/>
        </w:rPr>
        <w:t>0 EUR. Svi iznosi čine 100% navedenih prihoda za svaku od godina, a odnose se na prihode iz nadležnog proračuna temeljem Ugovora o osnivanju i Zakona o obnovi.</w:t>
      </w:r>
    </w:p>
    <w:p w14:paraId="449E830A" w14:textId="77777777" w:rsidR="009E44AE" w:rsidRPr="00260C80" w:rsidRDefault="009E44AE" w:rsidP="009E44AE">
      <w:pPr>
        <w:jc w:val="both"/>
        <w:rPr>
          <w:rFonts w:eastAsia="Times New Roman"/>
          <w:lang w:eastAsia="hr-HR"/>
        </w:rPr>
      </w:pPr>
    </w:p>
    <w:p w14:paraId="101602C2" w14:textId="77777777" w:rsidR="009E44AE" w:rsidRPr="00260C80" w:rsidRDefault="009E44AE" w:rsidP="009E44AE">
      <w:pPr>
        <w:pStyle w:val="ListParagraph"/>
        <w:numPr>
          <w:ilvl w:val="0"/>
          <w:numId w:val="18"/>
        </w:numPr>
        <w:jc w:val="both"/>
        <w:rPr>
          <w:b/>
          <w:bCs/>
        </w:rPr>
      </w:pPr>
      <w:r w:rsidRPr="00260C80">
        <w:rPr>
          <w:b/>
          <w:bCs/>
        </w:rPr>
        <w:t>Rashodi i izdaci</w:t>
      </w:r>
    </w:p>
    <w:p w14:paraId="37748413" w14:textId="77777777" w:rsidR="009E44AE" w:rsidRPr="00260C80" w:rsidRDefault="009E44AE" w:rsidP="009E44AE">
      <w:pPr>
        <w:jc w:val="both"/>
      </w:pPr>
    </w:p>
    <w:p w14:paraId="0BFB9E34" w14:textId="31B38C9E" w:rsidR="009E44AE" w:rsidRPr="00260C80" w:rsidRDefault="009E44AE" w:rsidP="009E44AE">
      <w:pPr>
        <w:jc w:val="both"/>
        <w:rPr>
          <w:rFonts w:eastAsia="Times New Roman"/>
          <w:lang w:eastAsia="hr-HR"/>
        </w:rPr>
      </w:pPr>
      <w:r w:rsidRPr="00260C80">
        <w:t xml:space="preserve">Ukupni rashodi i izdaci Fonda za obnovu </w:t>
      </w:r>
      <w:r w:rsidRPr="00260C80">
        <w:rPr>
          <w:rFonts w:eastAsia="Times New Roman"/>
          <w:lang w:eastAsia="hr-HR"/>
        </w:rPr>
        <w:t>za razdoblje 2023.-2025. planirani su u iznosu od 1</w:t>
      </w:r>
      <w:r w:rsidR="009E5C93" w:rsidRPr="00260C80">
        <w:rPr>
          <w:rFonts w:eastAsia="Times New Roman"/>
          <w:lang w:eastAsia="hr-HR"/>
        </w:rPr>
        <w:t>43</w:t>
      </w:r>
      <w:r w:rsidRPr="00260C80">
        <w:rPr>
          <w:rFonts w:eastAsia="Times New Roman"/>
          <w:lang w:eastAsia="hr-HR"/>
        </w:rPr>
        <w:t>.</w:t>
      </w:r>
      <w:r w:rsidR="009E5C93" w:rsidRPr="00260C80">
        <w:rPr>
          <w:rFonts w:eastAsia="Times New Roman"/>
          <w:lang w:eastAsia="hr-HR"/>
        </w:rPr>
        <w:t>303</w:t>
      </w:r>
      <w:r w:rsidR="005A1B96" w:rsidRPr="00260C80">
        <w:rPr>
          <w:rFonts w:eastAsia="Times New Roman"/>
          <w:lang w:eastAsia="hr-HR"/>
        </w:rPr>
        <w:t>.</w:t>
      </w:r>
      <w:r w:rsidR="009E5C93" w:rsidRPr="00260C80">
        <w:rPr>
          <w:rFonts w:eastAsia="Times New Roman"/>
          <w:lang w:eastAsia="hr-HR"/>
        </w:rPr>
        <w:t>200</w:t>
      </w:r>
      <w:r w:rsidRPr="00260C80">
        <w:rPr>
          <w:rFonts w:eastAsia="Times New Roman"/>
          <w:lang w:eastAsia="hr-HR"/>
        </w:rPr>
        <w:t xml:space="preserve"> EUR za 2023., 229.423.09</w:t>
      </w:r>
      <w:r w:rsidR="002856AE" w:rsidRPr="00260C80">
        <w:rPr>
          <w:rFonts w:eastAsia="Times New Roman"/>
          <w:lang w:eastAsia="hr-HR"/>
        </w:rPr>
        <w:t>4</w:t>
      </w:r>
      <w:r w:rsidRPr="00260C80">
        <w:rPr>
          <w:rFonts w:eastAsia="Times New Roman"/>
          <w:lang w:eastAsia="hr-HR"/>
        </w:rPr>
        <w:t xml:space="preserve"> EUR za 2024. i 260.855.96</w:t>
      </w:r>
      <w:r w:rsidR="002856AE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 xml:space="preserve"> EUR za 2025. godinu. </w:t>
      </w:r>
    </w:p>
    <w:p w14:paraId="4EF0E770" w14:textId="77777777" w:rsidR="009E44AE" w:rsidRPr="00260C80" w:rsidRDefault="009E44AE" w:rsidP="009E44AE">
      <w:pPr>
        <w:jc w:val="both"/>
        <w:rPr>
          <w:rFonts w:eastAsia="Times New Roman"/>
          <w:lang w:eastAsia="hr-HR"/>
        </w:rPr>
      </w:pPr>
    </w:p>
    <w:p w14:paraId="0AEB9685" w14:textId="41C1C391" w:rsidR="009E44AE" w:rsidRPr="00260C80" w:rsidRDefault="009E44AE" w:rsidP="009E44AE">
      <w:pPr>
        <w:jc w:val="both"/>
        <w:rPr>
          <w:rFonts w:eastAsia="Times New Roman"/>
          <w:lang w:eastAsia="hr-HR"/>
        </w:rPr>
      </w:pPr>
      <w:r w:rsidRPr="00260C80">
        <w:rPr>
          <w:rFonts w:eastAsia="Times New Roman"/>
          <w:lang w:eastAsia="hr-HR"/>
        </w:rPr>
        <w:t xml:space="preserve">Planirani rashodi odnose se na rashode poslovanja i rashode za nabavu nefinancijske imovine kako je i prikazano u općem dijelu računa prihoda i rashoda (Prilog 3.). Rashodi poslovanja planirani su za 2023. u iznosu od </w:t>
      </w:r>
      <w:r w:rsidR="0077217E" w:rsidRPr="00260C80">
        <w:rPr>
          <w:rFonts w:eastAsia="Times New Roman"/>
          <w:lang w:eastAsia="hr-HR"/>
        </w:rPr>
        <w:t>14</w:t>
      </w:r>
      <w:r w:rsidR="004053A5" w:rsidRPr="00260C80">
        <w:rPr>
          <w:rFonts w:eastAsia="Times New Roman"/>
          <w:lang w:eastAsia="hr-HR"/>
        </w:rPr>
        <w:t>2</w:t>
      </w:r>
      <w:r w:rsidR="0077217E" w:rsidRPr="00260C80">
        <w:rPr>
          <w:rFonts w:eastAsia="Times New Roman"/>
          <w:lang w:eastAsia="hr-HR"/>
        </w:rPr>
        <w:t>.</w:t>
      </w:r>
      <w:r w:rsidR="00F03689" w:rsidRPr="00260C80">
        <w:rPr>
          <w:rFonts w:eastAsia="Times New Roman"/>
          <w:lang w:eastAsia="hr-HR"/>
        </w:rPr>
        <w:t>773.105</w:t>
      </w:r>
      <w:r w:rsidRPr="00260C80">
        <w:rPr>
          <w:rFonts w:eastAsia="Times New Roman"/>
          <w:lang w:eastAsia="hr-HR"/>
        </w:rPr>
        <w:t xml:space="preserve"> EUR te čine 99,6</w:t>
      </w:r>
      <w:r w:rsidR="00F03689" w:rsidRPr="00260C80">
        <w:rPr>
          <w:rFonts w:eastAsia="Times New Roman"/>
          <w:lang w:eastAsia="hr-HR"/>
        </w:rPr>
        <w:t>3</w:t>
      </w:r>
      <w:r w:rsidRPr="00260C80">
        <w:rPr>
          <w:rFonts w:eastAsia="Times New Roman"/>
          <w:lang w:eastAsia="hr-HR"/>
        </w:rPr>
        <w:t>% ukupno planiranih rashoda, dok se preostalih 0,3</w:t>
      </w:r>
      <w:r w:rsidR="00F77575" w:rsidRPr="00260C80">
        <w:rPr>
          <w:rFonts w:eastAsia="Times New Roman"/>
          <w:lang w:eastAsia="hr-HR"/>
        </w:rPr>
        <w:t>7</w:t>
      </w:r>
      <w:r w:rsidRPr="00260C80">
        <w:rPr>
          <w:rFonts w:eastAsia="Times New Roman"/>
          <w:lang w:eastAsia="hr-HR"/>
        </w:rPr>
        <w:t xml:space="preserve">% odnosno </w:t>
      </w:r>
      <w:r w:rsidR="00636B41" w:rsidRPr="00260C80">
        <w:rPr>
          <w:rFonts w:eastAsia="Times New Roman"/>
          <w:lang w:eastAsia="hr-HR"/>
        </w:rPr>
        <w:t>530.095</w:t>
      </w:r>
      <w:r w:rsidRPr="00260C80">
        <w:rPr>
          <w:rFonts w:eastAsia="Times New Roman"/>
          <w:lang w:eastAsia="hr-HR"/>
        </w:rPr>
        <w:t xml:space="preserve"> EUR odnosi na </w:t>
      </w:r>
      <w:bookmarkStart w:id="1" w:name="_Hlk115620022"/>
      <w:r w:rsidRPr="00260C80">
        <w:rPr>
          <w:rFonts w:eastAsia="Times New Roman"/>
          <w:lang w:eastAsia="hr-HR"/>
        </w:rPr>
        <w:t>rashode za nabavu nefinancijske imovine</w:t>
      </w:r>
      <w:bookmarkEnd w:id="1"/>
      <w:r w:rsidRPr="00260C80">
        <w:rPr>
          <w:rFonts w:eastAsia="Times New Roman"/>
          <w:lang w:eastAsia="hr-HR"/>
        </w:rPr>
        <w:t>. Za 2024. i 2025. godinu rashodi poslovanja planirani su u iznosima od 229.105.620 EUR i 260.684.49</w:t>
      </w:r>
      <w:r w:rsidR="00CA3B0B" w:rsidRPr="00260C80">
        <w:rPr>
          <w:rFonts w:eastAsia="Times New Roman"/>
          <w:lang w:eastAsia="hr-HR"/>
        </w:rPr>
        <w:t>0</w:t>
      </w:r>
      <w:r w:rsidRPr="00260C80">
        <w:rPr>
          <w:rFonts w:eastAsia="Times New Roman"/>
          <w:lang w:eastAsia="hr-HR"/>
        </w:rPr>
        <w:t xml:space="preserve"> EUR odnosno čine 99,86% rashoda poslovanja za 2024. i 99,93% za 2025. godinu, dok se preostalih 0,14% za 2024. i 0,07% za 2025. odnosi na rashode za nabavu nefinancijske imovine što je u iznosima 31</w:t>
      </w:r>
      <w:r w:rsidR="009370D6" w:rsidRPr="00260C80">
        <w:rPr>
          <w:rFonts w:eastAsia="Times New Roman"/>
          <w:lang w:eastAsia="hr-HR"/>
        </w:rPr>
        <w:t>7</w:t>
      </w:r>
      <w:r w:rsidRPr="00260C80">
        <w:rPr>
          <w:rFonts w:eastAsia="Times New Roman"/>
          <w:lang w:eastAsia="hr-HR"/>
        </w:rPr>
        <w:t>.</w:t>
      </w:r>
      <w:r w:rsidR="009370D6" w:rsidRPr="00260C80">
        <w:rPr>
          <w:rFonts w:eastAsia="Times New Roman"/>
          <w:lang w:eastAsia="hr-HR"/>
        </w:rPr>
        <w:t>4</w:t>
      </w:r>
      <w:r w:rsidR="007B5B8B" w:rsidRPr="00260C80">
        <w:rPr>
          <w:rFonts w:eastAsia="Times New Roman"/>
          <w:lang w:eastAsia="hr-HR"/>
        </w:rPr>
        <w:t>7</w:t>
      </w:r>
      <w:r w:rsidR="00CA3B0B" w:rsidRPr="00260C80">
        <w:rPr>
          <w:rFonts w:eastAsia="Times New Roman"/>
          <w:lang w:eastAsia="hr-HR"/>
        </w:rPr>
        <w:t>4</w:t>
      </w:r>
      <w:r w:rsidRPr="00260C80">
        <w:rPr>
          <w:rFonts w:eastAsia="Times New Roman"/>
          <w:lang w:eastAsia="hr-HR"/>
        </w:rPr>
        <w:t xml:space="preserve"> EUR odnosno 1</w:t>
      </w:r>
      <w:r w:rsidR="0057593B" w:rsidRPr="00260C80">
        <w:rPr>
          <w:rFonts w:eastAsia="Times New Roman"/>
          <w:lang w:eastAsia="hr-HR"/>
        </w:rPr>
        <w:t>71</w:t>
      </w:r>
      <w:r w:rsidRPr="00260C80">
        <w:rPr>
          <w:rFonts w:eastAsia="Times New Roman"/>
          <w:lang w:eastAsia="hr-HR"/>
        </w:rPr>
        <w:t>.</w:t>
      </w:r>
      <w:r w:rsidR="0057593B" w:rsidRPr="00260C80">
        <w:rPr>
          <w:rFonts w:eastAsia="Times New Roman"/>
          <w:lang w:eastAsia="hr-HR"/>
        </w:rPr>
        <w:t>47</w:t>
      </w:r>
      <w:r w:rsidR="00744E53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 xml:space="preserve"> EUR.</w:t>
      </w:r>
    </w:p>
    <w:p w14:paraId="0AFA3633" w14:textId="77777777" w:rsidR="009E44AE" w:rsidRPr="00260C80" w:rsidRDefault="009E44AE" w:rsidP="009E44AE">
      <w:pPr>
        <w:jc w:val="both"/>
        <w:rPr>
          <w:rFonts w:eastAsia="Times New Roman"/>
          <w:lang w:eastAsia="hr-HR"/>
        </w:rPr>
      </w:pPr>
    </w:p>
    <w:p w14:paraId="19630F92" w14:textId="2062D65D" w:rsidR="009E44AE" w:rsidRPr="00260C80" w:rsidRDefault="009E44AE" w:rsidP="009E44AE">
      <w:pPr>
        <w:jc w:val="both"/>
        <w:rPr>
          <w:rFonts w:eastAsia="Times New Roman"/>
          <w:lang w:eastAsia="hr-HR"/>
        </w:rPr>
      </w:pPr>
      <w:r w:rsidRPr="00260C80">
        <w:rPr>
          <w:rFonts w:eastAsia="Times New Roman"/>
          <w:lang w:eastAsia="hr-HR"/>
        </w:rPr>
        <w:t>Unutar rashoda poslovanja za 2023. godinu najvećim dijelom planirani su rashodi za naknade građanima i kućanstvima na temelju osiguranja i druge naknade u iznosu od 1</w:t>
      </w:r>
      <w:r w:rsidR="00995EE0" w:rsidRPr="00260C80">
        <w:rPr>
          <w:rFonts w:eastAsia="Times New Roman"/>
          <w:lang w:eastAsia="hr-HR"/>
        </w:rPr>
        <w:t>0</w:t>
      </w:r>
      <w:r w:rsidR="00273853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>.</w:t>
      </w:r>
      <w:r w:rsidR="00273853" w:rsidRPr="00260C80">
        <w:rPr>
          <w:rFonts w:eastAsia="Times New Roman"/>
          <w:lang w:eastAsia="hr-HR"/>
        </w:rPr>
        <w:t>574</w:t>
      </w:r>
      <w:r w:rsidR="00995EE0" w:rsidRPr="00260C80">
        <w:rPr>
          <w:rFonts w:eastAsia="Times New Roman"/>
          <w:lang w:eastAsia="hr-HR"/>
        </w:rPr>
        <w:t>.</w:t>
      </w:r>
      <w:r w:rsidR="00273853" w:rsidRPr="00260C80">
        <w:rPr>
          <w:rFonts w:eastAsia="Times New Roman"/>
          <w:lang w:eastAsia="hr-HR"/>
        </w:rPr>
        <w:t>1</w:t>
      </w:r>
      <w:r w:rsidR="00995EE0" w:rsidRPr="00260C80">
        <w:rPr>
          <w:rFonts w:eastAsia="Times New Roman"/>
          <w:lang w:eastAsia="hr-HR"/>
        </w:rPr>
        <w:t>8</w:t>
      </w:r>
      <w:r w:rsidR="00273853" w:rsidRPr="00260C80">
        <w:rPr>
          <w:rFonts w:eastAsia="Times New Roman"/>
          <w:lang w:eastAsia="hr-HR"/>
        </w:rPr>
        <w:t>0</w:t>
      </w:r>
      <w:r w:rsidRPr="00260C80">
        <w:rPr>
          <w:rFonts w:eastAsia="Times New Roman"/>
          <w:lang w:eastAsia="hr-HR"/>
        </w:rPr>
        <w:t xml:space="preserve"> EUR odnosno 7</w:t>
      </w:r>
      <w:r w:rsidR="00FF1EA8" w:rsidRPr="00260C80">
        <w:rPr>
          <w:rFonts w:eastAsia="Times New Roman"/>
          <w:lang w:eastAsia="hr-HR"/>
        </w:rPr>
        <w:t>6</w:t>
      </w:r>
      <w:r w:rsidRPr="00260C80">
        <w:rPr>
          <w:rFonts w:eastAsia="Times New Roman"/>
          <w:lang w:eastAsia="hr-HR"/>
        </w:rPr>
        <w:t>,</w:t>
      </w:r>
      <w:r w:rsidR="00FF1EA8" w:rsidRPr="00260C80">
        <w:rPr>
          <w:rFonts w:eastAsia="Times New Roman"/>
          <w:lang w:eastAsia="hr-HR"/>
        </w:rPr>
        <w:t>7</w:t>
      </w:r>
      <w:r w:rsidR="00AC4B75" w:rsidRPr="00260C80">
        <w:rPr>
          <w:rFonts w:eastAsia="Times New Roman"/>
          <w:lang w:eastAsia="hr-HR"/>
        </w:rPr>
        <w:t>5</w:t>
      </w:r>
      <w:r w:rsidRPr="00260C80">
        <w:rPr>
          <w:rFonts w:eastAsia="Times New Roman"/>
          <w:lang w:eastAsia="hr-HR"/>
        </w:rPr>
        <w:t>%, zatim slijede rashodi za subvencije u iznosu od 14.</w:t>
      </w:r>
      <w:r w:rsidR="00DF7761" w:rsidRPr="00260C80">
        <w:rPr>
          <w:rFonts w:eastAsia="Times New Roman"/>
          <w:lang w:eastAsia="hr-HR"/>
        </w:rPr>
        <w:t>664.8</w:t>
      </w:r>
      <w:r w:rsidR="00504CB2" w:rsidRPr="00260C80">
        <w:rPr>
          <w:rFonts w:eastAsia="Times New Roman"/>
          <w:lang w:eastAsia="hr-HR"/>
        </w:rPr>
        <w:t>1</w:t>
      </w:r>
      <w:r w:rsidR="00DF7761" w:rsidRPr="00260C80">
        <w:rPr>
          <w:rFonts w:eastAsia="Times New Roman"/>
          <w:lang w:eastAsia="hr-HR"/>
        </w:rPr>
        <w:t xml:space="preserve">0 </w:t>
      </w:r>
      <w:r w:rsidRPr="00260C80">
        <w:rPr>
          <w:rFonts w:eastAsia="Times New Roman"/>
          <w:lang w:eastAsia="hr-HR"/>
        </w:rPr>
        <w:t xml:space="preserve">EUR odnosno </w:t>
      </w:r>
      <w:r w:rsidR="00CF2C4D" w:rsidRPr="00260C80">
        <w:rPr>
          <w:rFonts w:eastAsia="Times New Roman"/>
          <w:lang w:eastAsia="hr-HR"/>
        </w:rPr>
        <w:t>10</w:t>
      </w:r>
      <w:r w:rsidRPr="00260C80">
        <w:rPr>
          <w:rFonts w:eastAsia="Times New Roman"/>
          <w:lang w:eastAsia="hr-HR"/>
        </w:rPr>
        <w:t>,</w:t>
      </w:r>
      <w:r w:rsidR="00CF2C4D" w:rsidRPr="00260C80">
        <w:rPr>
          <w:rFonts w:eastAsia="Times New Roman"/>
          <w:lang w:eastAsia="hr-HR"/>
        </w:rPr>
        <w:t>27</w:t>
      </w:r>
      <w:r w:rsidRPr="00260C80">
        <w:rPr>
          <w:rFonts w:eastAsia="Times New Roman"/>
          <w:lang w:eastAsia="hr-HR"/>
        </w:rPr>
        <w:t xml:space="preserve">%, materijalni rashodi u iznosu od </w:t>
      </w:r>
      <w:r w:rsidR="00C40049" w:rsidRPr="00260C80">
        <w:rPr>
          <w:rFonts w:eastAsia="Times New Roman"/>
          <w:lang w:eastAsia="hr-HR"/>
        </w:rPr>
        <w:t>5.943.686</w:t>
      </w:r>
      <w:r w:rsidRPr="00260C80">
        <w:rPr>
          <w:rFonts w:eastAsia="Times New Roman"/>
          <w:lang w:eastAsia="hr-HR"/>
        </w:rPr>
        <w:t xml:space="preserve"> EUR odnosno </w:t>
      </w:r>
      <w:r w:rsidR="00EB5840" w:rsidRPr="00260C80">
        <w:rPr>
          <w:rFonts w:eastAsia="Times New Roman"/>
          <w:lang w:eastAsia="hr-HR"/>
        </w:rPr>
        <w:t>4</w:t>
      </w:r>
      <w:r w:rsidRPr="00260C80">
        <w:rPr>
          <w:rFonts w:eastAsia="Times New Roman"/>
          <w:lang w:eastAsia="hr-HR"/>
        </w:rPr>
        <w:t>,</w:t>
      </w:r>
      <w:r w:rsidR="00EB5840" w:rsidRPr="00260C80">
        <w:rPr>
          <w:rFonts w:eastAsia="Times New Roman"/>
          <w:lang w:eastAsia="hr-HR"/>
        </w:rPr>
        <w:t>16</w:t>
      </w:r>
      <w:r w:rsidRPr="00260C80">
        <w:rPr>
          <w:rFonts w:eastAsia="Times New Roman"/>
          <w:lang w:eastAsia="hr-HR"/>
        </w:rPr>
        <w:t>%, ostali rashodi u iznosu od 5.658.504 EUR odnosno 3,</w:t>
      </w:r>
      <w:r w:rsidR="0087011E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>6%, rashodi za zaposlene u iznosu 3.988.18</w:t>
      </w:r>
      <w:r w:rsidR="00D92FA7" w:rsidRPr="00260C80">
        <w:rPr>
          <w:rFonts w:eastAsia="Times New Roman"/>
          <w:lang w:eastAsia="hr-HR"/>
        </w:rPr>
        <w:t>7</w:t>
      </w:r>
      <w:r w:rsidRPr="00260C80">
        <w:rPr>
          <w:rFonts w:eastAsia="Times New Roman"/>
          <w:lang w:eastAsia="hr-HR"/>
        </w:rPr>
        <w:t xml:space="preserve"> EUR odnosno 2,7</w:t>
      </w:r>
      <w:r w:rsidR="00A36761" w:rsidRPr="00260C80">
        <w:rPr>
          <w:rFonts w:eastAsia="Times New Roman"/>
          <w:lang w:eastAsia="hr-HR"/>
        </w:rPr>
        <w:t>9</w:t>
      </w:r>
      <w:r w:rsidRPr="00260C80">
        <w:rPr>
          <w:rFonts w:eastAsia="Times New Roman"/>
          <w:lang w:eastAsia="hr-HR"/>
        </w:rPr>
        <w:t>%, rashodi za pomoći dane u inozemstvo i unutar općeg proračuna u iznosu 2.942.99</w:t>
      </w:r>
      <w:r w:rsidR="00B22009" w:rsidRPr="00260C80">
        <w:rPr>
          <w:rFonts w:eastAsia="Times New Roman"/>
          <w:lang w:eastAsia="hr-HR"/>
        </w:rPr>
        <w:t>5</w:t>
      </w:r>
      <w:r w:rsidRPr="00260C80">
        <w:rPr>
          <w:rFonts w:eastAsia="Times New Roman"/>
          <w:lang w:eastAsia="hr-HR"/>
        </w:rPr>
        <w:t xml:space="preserve"> EUR odnosno </w:t>
      </w:r>
      <w:r w:rsidR="00570BE5" w:rsidRPr="00260C80">
        <w:rPr>
          <w:rFonts w:eastAsia="Times New Roman"/>
          <w:lang w:eastAsia="hr-HR"/>
        </w:rPr>
        <w:t>2</w:t>
      </w:r>
      <w:r w:rsidRPr="00260C80">
        <w:rPr>
          <w:rFonts w:eastAsia="Times New Roman"/>
          <w:lang w:eastAsia="hr-HR"/>
        </w:rPr>
        <w:t>,0</w:t>
      </w:r>
      <w:r w:rsidR="00570BE5" w:rsidRPr="00260C80">
        <w:rPr>
          <w:rFonts w:eastAsia="Times New Roman"/>
          <w:lang w:eastAsia="hr-HR"/>
        </w:rPr>
        <w:t>6</w:t>
      </w:r>
      <w:r w:rsidRPr="00260C80">
        <w:rPr>
          <w:rFonts w:eastAsia="Times New Roman"/>
          <w:lang w:eastAsia="hr-HR"/>
        </w:rPr>
        <w:t>% te financijski rashodi u iznosu od 743 EUR odnosno manje od 0,</w:t>
      </w:r>
      <w:r w:rsidR="00905BF6" w:rsidRPr="00260C80">
        <w:rPr>
          <w:rFonts w:eastAsia="Times New Roman"/>
          <w:lang w:eastAsia="hr-HR"/>
        </w:rPr>
        <w:t>0</w:t>
      </w:r>
      <w:r w:rsidRPr="00260C80">
        <w:rPr>
          <w:rFonts w:eastAsia="Times New Roman"/>
          <w:lang w:eastAsia="hr-HR"/>
        </w:rPr>
        <w:t>1% rashoda poslovanja. U 2024. godini planirani su rashodi za naknade građanima i kućanstvima na temelju osiguranja i druge naknade u iznosu od 187.346.870 EUR odnosno 81,77%, rashodi za subvencije u iznosu od 21.168.093 EUR odnosno 9,24%, materijalni rashodi u iznosu od 7.089.48</w:t>
      </w:r>
      <w:r w:rsidR="0045715E" w:rsidRPr="00260C80">
        <w:rPr>
          <w:rFonts w:eastAsia="Times New Roman"/>
          <w:lang w:eastAsia="hr-HR"/>
        </w:rPr>
        <w:t>3</w:t>
      </w:r>
      <w:r w:rsidRPr="00260C80">
        <w:rPr>
          <w:rFonts w:eastAsia="Times New Roman"/>
          <w:lang w:eastAsia="hr-HR"/>
        </w:rPr>
        <w:t xml:space="preserve"> EUR odnosno 3,09%, rashodi za pomoći dane u inozemstvo i unutar općeg proračuna u iznosu 5.348.06</w:t>
      </w:r>
      <w:r w:rsidR="008D018D" w:rsidRPr="00260C80">
        <w:rPr>
          <w:rFonts w:eastAsia="Times New Roman"/>
          <w:lang w:eastAsia="hr-HR"/>
        </w:rPr>
        <w:t>5</w:t>
      </w:r>
      <w:r w:rsidRPr="00260C80">
        <w:rPr>
          <w:rFonts w:eastAsia="Times New Roman"/>
          <w:lang w:eastAsia="hr-HR"/>
        </w:rPr>
        <w:t xml:space="preserve"> EUR</w:t>
      </w:r>
      <w:r w:rsidR="0077217E" w:rsidRPr="00260C80">
        <w:rPr>
          <w:rFonts w:eastAsia="Times New Roman"/>
          <w:lang w:eastAsia="hr-HR"/>
        </w:rPr>
        <w:t xml:space="preserve"> </w:t>
      </w:r>
      <w:r w:rsidRPr="00260C80">
        <w:rPr>
          <w:rFonts w:eastAsia="Times New Roman"/>
          <w:lang w:eastAsia="hr-HR"/>
        </w:rPr>
        <w:t xml:space="preserve">odnosno 2,33%, rashodi za zaposlene u iznosu 4.162.851 EUR odnosno 1,82%, ostali rashodi u iznosu od 3.989.515 EUR odnosno 1,74% te financijski rashodi koji čine manje od 0,01% planiranih rashoda poslovanja u iznosu od 743 EUR. U 2025. godini, kao i kod prethodne dvije, najveći dio se odnosi na su rashodi za naknade građanima i kućanstvima na temelju osiguranja i druge naknade u iznosu od </w:t>
      </w:r>
      <w:r w:rsidRPr="00260C80">
        <w:rPr>
          <w:rFonts w:eastAsia="Times New Roman"/>
          <w:lang w:eastAsia="en-GB"/>
        </w:rPr>
        <w:t>215.650.93</w:t>
      </w:r>
      <w:r w:rsidR="003208D0" w:rsidRPr="00260C80">
        <w:rPr>
          <w:rFonts w:eastAsia="Times New Roman"/>
          <w:lang w:eastAsia="en-GB"/>
        </w:rPr>
        <w:t>9</w:t>
      </w:r>
      <w:r w:rsidRPr="00260C80">
        <w:rPr>
          <w:rFonts w:eastAsia="Times New Roman"/>
          <w:lang w:eastAsia="hr-HR"/>
        </w:rPr>
        <w:t xml:space="preserve"> EUR odnosno 82,73%, zatim slijede rashodi za subvencije u iznosu od </w:t>
      </w:r>
      <w:r w:rsidRPr="00260C80">
        <w:rPr>
          <w:rFonts w:eastAsia="Times New Roman"/>
          <w:lang w:eastAsia="en-GB"/>
        </w:rPr>
        <w:t>24.150.309</w:t>
      </w:r>
      <w:r w:rsidRPr="00260C80">
        <w:rPr>
          <w:rFonts w:eastAsia="Times New Roman"/>
          <w:lang w:eastAsia="hr-HR"/>
        </w:rPr>
        <w:t xml:space="preserve"> EUR odnosno 9,26%, materijalni rashodi u iznosu od </w:t>
      </w:r>
      <w:r w:rsidRPr="00260C80">
        <w:rPr>
          <w:rFonts w:eastAsia="Times New Roman"/>
          <w:lang w:eastAsia="en-GB"/>
        </w:rPr>
        <w:t>7.850.0</w:t>
      </w:r>
      <w:r w:rsidR="00515F73" w:rsidRPr="00260C80">
        <w:rPr>
          <w:rFonts w:eastAsia="Times New Roman"/>
          <w:lang w:eastAsia="en-GB"/>
        </w:rPr>
        <w:t>48</w:t>
      </w:r>
      <w:r w:rsidRPr="00260C80">
        <w:rPr>
          <w:rFonts w:eastAsia="Times New Roman"/>
          <w:lang w:eastAsia="hr-HR"/>
        </w:rPr>
        <w:t xml:space="preserve"> EUR odnosno 3,01%, rashodi za pomoći dane u inozemstvo i unutar općeg proračuna u iznosu </w:t>
      </w:r>
      <w:r w:rsidRPr="00260C80">
        <w:rPr>
          <w:rFonts w:eastAsia="Times New Roman"/>
          <w:lang w:eastAsia="en-GB"/>
        </w:rPr>
        <w:t>6.160.064</w:t>
      </w:r>
      <w:r w:rsidRPr="00260C80">
        <w:rPr>
          <w:rFonts w:eastAsia="Times New Roman"/>
          <w:lang w:eastAsia="hr-HR"/>
        </w:rPr>
        <w:t xml:space="preserve"> EUR odnosno 2,36%, rashodi za zaposlene u iznosu </w:t>
      </w:r>
      <w:r w:rsidRPr="00260C80">
        <w:rPr>
          <w:rFonts w:eastAsia="Times New Roman"/>
          <w:lang w:eastAsia="en-GB"/>
        </w:rPr>
        <w:t>4.180.370</w:t>
      </w:r>
      <w:r w:rsidRPr="00260C80">
        <w:rPr>
          <w:rFonts w:eastAsia="Times New Roman"/>
          <w:lang w:eastAsia="hr-HR"/>
        </w:rPr>
        <w:t xml:space="preserve"> EUR odnosno 1,60%, ostali rashodi u iznosu od </w:t>
      </w:r>
      <w:r w:rsidRPr="00260C80">
        <w:rPr>
          <w:rFonts w:eastAsia="Times New Roman"/>
          <w:lang w:eastAsia="en-GB"/>
        </w:rPr>
        <w:t>2.692.017</w:t>
      </w:r>
      <w:r w:rsidRPr="00260C80">
        <w:rPr>
          <w:rFonts w:eastAsia="Times New Roman"/>
          <w:lang w:eastAsia="hr-HR"/>
        </w:rPr>
        <w:t xml:space="preserve"> EUR odnosno 1,03% te financijski rashodi koji i u ovoj godini također čine manje od 0,01% planiranih rashoda poslovanja u iznosu od 743 EUR).</w:t>
      </w:r>
    </w:p>
    <w:p w14:paraId="08591F32" w14:textId="77777777" w:rsidR="009E44AE" w:rsidRPr="00260C80" w:rsidRDefault="009E44AE" w:rsidP="009E44AE">
      <w:pPr>
        <w:jc w:val="both"/>
        <w:rPr>
          <w:rFonts w:eastAsia="Times New Roman"/>
          <w:lang w:eastAsia="hr-HR"/>
        </w:rPr>
      </w:pPr>
    </w:p>
    <w:p w14:paraId="5E0E7BC2" w14:textId="06CCE7D0" w:rsidR="009E44AE" w:rsidRPr="00721E52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lang w:eastAsia="hr-HR"/>
        </w:rPr>
        <w:t xml:space="preserve">Unutar rashoda za nabavu nefinancijske imovine za 2023. godinu planirani su rashodi za nabavu proizvedene dugotrajne imovine u iznosu od </w:t>
      </w:r>
      <w:r w:rsidR="00E132A2">
        <w:rPr>
          <w:rFonts w:eastAsia="Times New Roman"/>
          <w:lang w:eastAsia="hr-HR"/>
        </w:rPr>
        <w:t>5</w:t>
      </w:r>
      <w:r w:rsidR="00406252">
        <w:rPr>
          <w:rFonts w:eastAsia="Times New Roman"/>
          <w:lang w:eastAsia="hr-HR"/>
        </w:rPr>
        <w:t>21</w:t>
      </w:r>
      <w:r w:rsidR="00E132A2">
        <w:rPr>
          <w:rFonts w:eastAsia="Times New Roman"/>
          <w:lang w:eastAsia="hr-HR"/>
        </w:rPr>
        <w:t>.</w:t>
      </w:r>
      <w:r w:rsidR="00406252">
        <w:rPr>
          <w:rFonts w:eastAsia="Times New Roman"/>
          <w:lang w:eastAsia="hr-HR"/>
        </w:rPr>
        <w:t>468</w:t>
      </w:r>
      <w:r>
        <w:rPr>
          <w:rFonts w:eastAsia="Times New Roman"/>
          <w:lang w:eastAsia="hr-HR"/>
        </w:rPr>
        <w:t xml:space="preserve"> EUR </w:t>
      </w:r>
      <w:r w:rsidRPr="00260C80">
        <w:rPr>
          <w:rFonts w:eastAsia="Times New Roman"/>
          <w:lang w:eastAsia="hr-HR"/>
        </w:rPr>
        <w:t>odnosno 98,</w:t>
      </w:r>
      <w:r w:rsidR="0064586B" w:rsidRPr="00260C80">
        <w:rPr>
          <w:rFonts w:eastAsia="Times New Roman"/>
          <w:lang w:eastAsia="hr-HR"/>
        </w:rPr>
        <w:t>37</w:t>
      </w:r>
      <w:r w:rsidRPr="00260C80">
        <w:rPr>
          <w:rFonts w:eastAsia="Times New Roman"/>
          <w:lang w:eastAsia="hr-HR"/>
        </w:rPr>
        <w:t xml:space="preserve">% i rashodi </w:t>
      </w:r>
      <w:r>
        <w:rPr>
          <w:rFonts w:eastAsia="Times New Roman"/>
          <w:lang w:eastAsia="hr-HR"/>
        </w:rPr>
        <w:lastRenderedPageBreak/>
        <w:t xml:space="preserve">za nabavu neproizvedene dugotrajne imovine u iznosu od 8.627 EUR što čini </w:t>
      </w:r>
      <w:r w:rsidR="005943BB" w:rsidRPr="00260C80">
        <w:rPr>
          <w:rFonts w:eastAsia="Times New Roman"/>
          <w:lang w:eastAsia="hr-HR"/>
        </w:rPr>
        <w:t>1,63</w:t>
      </w:r>
      <w:r w:rsidRPr="00260C80">
        <w:rPr>
          <w:rFonts w:eastAsia="Times New Roman"/>
          <w:lang w:eastAsia="hr-HR"/>
        </w:rPr>
        <w:t xml:space="preserve">% navedenih </w:t>
      </w:r>
      <w:r>
        <w:rPr>
          <w:rFonts w:eastAsia="Times New Roman"/>
          <w:lang w:eastAsia="hr-HR"/>
        </w:rPr>
        <w:t>rashoda. Za 2024. i 2025. godinu unutar rashoda za nabavu nefinancijske imovine najvećim dijelom su također planirani rashodi za nabavu proizvedene dugotrajne imovine u iznosima od 310.04</w:t>
      </w:r>
      <w:r w:rsidR="009671FE">
        <w:rPr>
          <w:rFonts w:eastAsia="Times New Roman"/>
          <w:lang w:eastAsia="hr-HR"/>
        </w:rPr>
        <w:t>1</w:t>
      </w:r>
      <w:r>
        <w:rPr>
          <w:rFonts w:eastAsia="Times New Roman"/>
          <w:lang w:eastAsia="hr-HR"/>
        </w:rPr>
        <w:t xml:space="preserve"> EUR i 164.04</w:t>
      </w:r>
      <w:r w:rsidR="009671FE">
        <w:rPr>
          <w:rFonts w:eastAsia="Times New Roman"/>
          <w:lang w:eastAsia="hr-HR"/>
        </w:rPr>
        <w:t>6</w:t>
      </w:r>
      <w:r>
        <w:rPr>
          <w:rFonts w:eastAsia="Times New Roman"/>
          <w:lang w:eastAsia="hr-HR"/>
        </w:rPr>
        <w:t xml:space="preserve"> EUR</w:t>
      </w:r>
      <w:r w:rsidR="00AC6069">
        <w:rPr>
          <w:rFonts w:eastAsia="Times New Roman"/>
          <w:lang w:eastAsia="hr-HR"/>
        </w:rPr>
        <w:t>, a</w:t>
      </w:r>
      <w:r>
        <w:rPr>
          <w:rFonts w:eastAsia="Times New Roman"/>
          <w:lang w:eastAsia="hr-HR"/>
        </w:rPr>
        <w:t xml:space="preserve"> čine 97,66% navedenih rashoda za 2024. i 95,67% za 2025. godinu, dok se preostalih 2,34% za 2024. i 4,33% za 2025. godinu odnosi na rashode za nabavu neproizvedene dugotrajne imovine što je u iznosu 7.43</w:t>
      </w:r>
      <w:r w:rsidR="005B449E">
        <w:rPr>
          <w:rFonts w:eastAsia="Times New Roman"/>
          <w:lang w:eastAsia="hr-HR"/>
        </w:rPr>
        <w:t>3</w:t>
      </w:r>
      <w:r>
        <w:rPr>
          <w:rFonts w:eastAsia="Times New Roman"/>
          <w:lang w:eastAsia="hr-HR"/>
        </w:rPr>
        <w:t xml:space="preserve"> EUR za obje godine.</w:t>
      </w:r>
    </w:p>
    <w:p w14:paraId="6CAE9CF6" w14:textId="77777777" w:rsidR="009E44AE" w:rsidRPr="00CB7E03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01C88142" w14:textId="2BD7C1B5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Rashodi za zaposlene odnose se na plaće, doprinose i ostale rashode za zaposlene (regres, božićnica, dar za djecu, jubilarne nagrade i pomoći), a u 2023. godini planiraju se financirati iz izvora 11 u iznosu od 3.190.656 EUR odnosno </w:t>
      </w:r>
      <w:r w:rsidRPr="00260C80">
        <w:rPr>
          <w:rFonts w:eastAsia="Times New Roman"/>
          <w:lang w:eastAsia="hr-HR"/>
        </w:rPr>
        <w:t xml:space="preserve">80% i iz izvora 52 u iznosu od 797.531 EUR što čini 20% navedenih rashoda. Za 2024. i 2025. godinu </w:t>
      </w:r>
      <w:r>
        <w:rPr>
          <w:rFonts w:eastAsia="Times New Roman"/>
          <w:color w:val="000000"/>
          <w:lang w:eastAsia="hr-HR"/>
        </w:rPr>
        <w:t>rashodi za zaposlene planirani su na izvoru 11 u iznosima od 3.330.281 EUR i 3.344.21</w:t>
      </w:r>
      <w:r w:rsidR="00435C21">
        <w:rPr>
          <w:rFonts w:eastAsia="Times New Roman"/>
          <w:color w:val="000000"/>
          <w:lang w:eastAsia="hr-HR"/>
        </w:rPr>
        <w:t>6</w:t>
      </w:r>
      <w:r>
        <w:rPr>
          <w:rFonts w:eastAsia="Times New Roman"/>
          <w:color w:val="000000"/>
          <w:lang w:eastAsia="hr-HR"/>
        </w:rPr>
        <w:t xml:space="preserve"> EUR odnosno čine 80,00% navedenih rashoda za obje godine, dok su preostalih 20% planirani na izvoru 52 što je u iznosima 832.570 EUR za 2024. odnosno 836.154 EUR za 2025. godinu.</w:t>
      </w:r>
    </w:p>
    <w:p w14:paraId="04136612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773F70A4" w14:textId="21EA9794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Materijalni rashodi odnose se na financiranje obnove za objekte koji su određenom postotku u vlasništvu države (središnji proračun), kao i za financiranje rashoda za administrativne potrebe (naknade troškova zaposlenima, rashodi za materijal i energiju, rashodi za usluge, naknade troškova osobama izvan radnog odnosa i ostali nespomenuti rashodi poslovanja), a u 2023. godini planiraju se financirati iz izvora 11 u iznosu od 3.623.001 EUR odnosno </w:t>
      </w:r>
      <w:r w:rsidRPr="00260C80">
        <w:rPr>
          <w:rFonts w:eastAsia="Times New Roman"/>
          <w:lang w:eastAsia="hr-HR"/>
        </w:rPr>
        <w:t>60,</w:t>
      </w:r>
      <w:r w:rsidR="00D96141" w:rsidRPr="00260C80">
        <w:rPr>
          <w:rFonts w:eastAsia="Times New Roman"/>
          <w:lang w:eastAsia="hr-HR"/>
        </w:rPr>
        <w:t>9</w:t>
      </w:r>
      <w:r w:rsidR="00C95F30" w:rsidRPr="00260C80">
        <w:rPr>
          <w:rFonts w:eastAsia="Times New Roman"/>
          <w:lang w:eastAsia="hr-HR"/>
        </w:rPr>
        <w:t>5</w:t>
      </w:r>
      <w:r w:rsidRPr="00260C80">
        <w:rPr>
          <w:rFonts w:eastAsia="Times New Roman"/>
          <w:lang w:eastAsia="hr-HR"/>
        </w:rPr>
        <w:t>%, izvora 52 u iznosu od 781.10</w:t>
      </w:r>
      <w:r w:rsidR="00B6053D" w:rsidRPr="00260C80">
        <w:rPr>
          <w:rFonts w:eastAsia="Times New Roman"/>
          <w:lang w:eastAsia="hr-HR"/>
        </w:rPr>
        <w:t>1</w:t>
      </w:r>
      <w:r w:rsidRPr="00260C80">
        <w:rPr>
          <w:rFonts w:eastAsia="Times New Roman"/>
          <w:lang w:eastAsia="hr-HR"/>
        </w:rPr>
        <w:t xml:space="preserve"> EUR odnosno 13,</w:t>
      </w:r>
      <w:r w:rsidR="002D167A" w:rsidRPr="00260C80">
        <w:rPr>
          <w:rFonts w:eastAsia="Times New Roman"/>
          <w:lang w:eastAsia="hr-HR"/>
        </w:rPr>
        <w:t>14</w:t>
      </w:r>
      <w:r w:rsidRPr="00260C80">
        <w:rPr>
          <w:rFonts w:eastAsia="Times New Roman"/>
          <w:lang w:eastAsia="hr-HR"/>
        </w:rPr>
        <w:t>%, izvora 5761 u iznosu od 1.274.13</w:t>
      </w:r>
      <w:r w:rsidR="00B6053D" w:rsidRPr="00260C80">
        <w:rPr>
          <w:rFonts w:eastAsia="Times New Roman"/>
          <w:lang w:eastAsia="hr-HR"/>
        </w:rPr>
        <w:t>8</w:t>
      </w:r>
      <w:r w:rsidRPr="00260C80">
        <w:rPr>
          <w:rFonts w:eastAsia="Times New Roman"/>
          <w:lang w:eastAsia="hr-HR"/>
        </w:rPr>
        <w:t xml:space="preserve"> EUR odnosno 21,</w:t>
      </w:r>
      <w:r w:rsidR="009A5D6C" w:rsidRPr="00260C80">
        <w:rPr>
          <w:rFonts w:eastAsia="Times New Roman"/>
          <w:lang w:eastAsia="hr-HR"/>
        </w:rPr>
        <w:t>44</w:t>
      </w:r>
      <w:r w:rsidRPr="00260C80">
        <w:rPr>
          <w:rFonts w:eastAsia="Times New Roman"/>
          <w:lang w:eastAsia="hr-HR"/>
        </w:rPr>
        <w:t xml:space="preserve">% te iz izvora 581 u iznosu od </w:t>
      </w:r>
      <w:r w:rsidR="00142696" w:rsidRPr="00260C80">
        <w:rPr>
          <w:rFonts w:eastAsia="Times New Roman"/>
          <w:lang w:eastAsia="hr-HR"/>
        </w:rPr>
        <w:t>265.</w:t>
      </w:r>
      <w:r w:rsidR="00A7620D" w:rsidRPr="00260C80">
        <w:rPr>
          <w:rFonts w:eastAsia="Times New Roman"/>
          <w:lang w:eastAsia="hr-HR"/>
        </w:rPr>
        <w:t>446</w:t>
      </w:r>
      <w:r w:rsidRPr="00260C80">
        <w:rPr>
          <w:rFonts w:eastAsia="Times New Roman"/>
          <w:lang w:eastAsia="hr-HR"/>
        </w:rPr>
        <w:t xml:space="preserve"> EUR što čini </w:t>
      </w:r>
      <w:r w:rsidR="005839A4" w:rsidRPr="00260C80">
        <w:rPr>
          <w:rFonts w:eastAsia="Times New Roman"/>
          <w:lang w:eastAsia="hr-HR"/>
        </w:rPr>
        <w:t>4</w:t>
      </w:r>
      <w:r w:rsidRPr="00260C80">
        <w:rPr>
          <w:rFonts w:eastAsia="Times New Roman"/>
          <w:lang w:eastAsia="hr-HR"/>
        </w:rPr>
        <w:t>,</w:t>
      </w:r>
      <w:r w:rsidR="005839A4" w:rsidRPr="00260C80">
        <w:rPr>
          <w:rFonts w:eastAsia="Times New Roman"/>
          <w:lang w:eastAsia="hr-HR"/>
        </w:rPr>
        <w:t>4</w:t>
      </w:r>
      <w:r w:rsidR="00C95F30" w:rsidRPr="00260C80">
        <w:rPr>
          <w:rFonts w:eastAsia="Times New Roman"/>
          <w:lang w:eastAsia="hr-HR"/>
        </w:rPr>
        <w:t>7</w:t>
      </w:r>
      <w:r w:rsidRPr="00260C80">
        <w:rPr>
          <w:rFonts w:eastAsia="Times New Roman"/>
          <w:lang w:eastAsia="hr-HR"/>
        </w:rPr>
        <w:t>% navedenih rashoda. Za 2024. i 2025. godinu materijalni rashodi planirani su na izvoru 11 u iznosima od 5.</w:t>
      </w:r>
      <w:r>
        <w:rPr>
          <w:rFonts w:eastAsia="Times New Roman"/>
          <w:color w:val="000000"/>
          <w:lang w:eastAsia="hr-HR"/>
        </w:rPr>
        <w:t>586.10</w:t>
      </w:r>
      <w:r w:rsidR="00B6053D">
        <w:rPr>
          <w:rFonts w:eastAsia="Times New Roman"/>
          <w:color w:val="000000"/>
          <w:lang w:eastAsia="hr-HR"/>
        </w:rPr>
        <w:t>5</w:t>
      </w:r>
      <w:r>
        <w:rPr>
          <w:rFonts w:eastAsia="Times New Roman"/>
          <w:color w:val="000000"/>
          <w:lang w:eastAsia="hr-HR"/>
        </w:rPr>
        <w:t xml:space="preserve"> EUR i 6.254.761 EUR odnosno 78,79% za 2024. i 79,68% za 2025. godinu, na izvoru 52 u iznosima od 1.171.57</w:t>
      </w:r>
      <w:r w:rsidR="00BA1D5B">
        <w:rPr>
          <w:rFonts w:eastAsia="Times New Roman"/>
          <w:color w:val="000000"/>
          <w:lang w:eastAsia="hr-HR"/>
        </w:rPr>
        <w:t>0</w:t>
      </w:r>
      <w:r>
        <w:rPr>
          <w:rFonts w:eastAsia="Times New Roman"/>
          <w:color w:val="000000"/>
          <w:lang w:eastAsia="hr-HR"/>
        </w:rPr>
        <w:t xml:space="preserve"> EUR i 1.304.95</w:t>
      </w:r>
      <w:r w:rsidR="00BA1D5B">
        <w:rPr>
          <w:rFonts w:eastAsia="Times New Roman"/>
          <w:color w:val="000000"/>
          <w:lang w:eastAsia="hr-HR"/>
        </w:rPr>
        <w:t>6</w:t>
      </w:r>
      <w:r>
        <w:rPr>
          <w:rFonts w:eastAsia="Times New Roman"/>
          <w:color w:val="000000"/>
          <w:lang w:eastAsia="hr-HR"/>
        </w:rPr>
        <w:t xml:space="preserve"> EUR odnosno 16,53% za 2024. i 16,62% za 2025. godinu te na izvoru 581 u iznosima od 331.80</w:t>
      </w:r>
      <w:r w:rsidR="00BA1D5B">
        <w:rPr>
          <w:rFonts w:eastAsia="Times New Roman"/>
          <w:color w:val="000000"/>
          <w:lang w:eastAsia="hr-HR"/>
        </w:rPr>
        <w:t>8</w:t>
      </w:r>
      <w:r>
        <w:rPr>
          <w:rFonts w:eastAsia="Times New Roman"/>
          <w:color w:val="000000"/>
          <w:lang w:eastAsia="hr-HR"/>
        </w:rPr>
        <w:t xml:space="preserve"> EUR i 290.331 EUR što čini 4,68% navedenih rashoda za 2024. i 3,70% za 2025. godinu.</w:t>
      </w:r>
    </w:p>
    <w:p w14:paraId="57D14BF0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135B175F" w14:textId="7C13ADC6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Financijski rashodi odnose se na administrativne potrebe za bankarske usluge i usluge platnog prometa, zatezne kamate i ostale nespomenute financijske rashode, a u 2023. godini planiraju se financirati iz izvora 11 u iznosu od 597 EUR </w:t>
      </w:r>
      <w:r w:rsidRPr="00260C80">
        <w:rPr>
          <w:rFonts w:eastAsia="Times New Roman"/>
          <w:lang w:eastAsia="hr-HR"/>
        </w:rPr>
        <w:t>odnosno 80,3</w:t>
      </w:r>
      <w:r w:rsidR="003E73A0" w:rsidRPr="00260C80">
        <w:rPr>
          <w:rFonts w:eastAsia="Times New Roman"/>
          <w:lang w:eastAsia="hr-HR"/>
        </w:rPr>
        <w:t>6</w:t>
      </w:r>
      <w:r w:rsidRPr="00260C80">
        <w:rPr>
          <w:rFonts w:eastAsia="Times New Roman"/>
          <w:lang w:eastAsia="hr-HR"/>
        </w:rPr>
        <w:t>% i iz izvora 52 u iznosu od 146 EUR što čini 19,6</w:t>
      </w:r>
      <w:r w:rsidR="003E73A0" w:rsidRPr="00260C80">
        <w:rPr>
          <w:rFonts w:eastAsia="Times New Roman"/>
          <w:lang w:eastAsia="hr-HR"/>
        </w:rPr>
        <w:t>4</w:t>
      </w:r>
      <w:r w:rsidRPr="00260C80">
        <w:rPr>
          <w:rFonts w:eastAsia="Times New Roman"/>
          <w:lang w:eastAsia="hr-HR"/>
        </w:rPr>
        <w:t>% navedenih rashoda. Za 2024. i 2025. go</w:t>
      </w:r>
      <w:r>
        <w:rPr>
          <w:rFonts w:eastAsia="Times New Roman"/>
          <w:color w:val="000000"/>
          <w:lang w:eastAsia="hr-HR"/>
        </w:rPr>
        <w:t xml:space="preserve">dinu financijski rashodi planirani su na izvoru 11 u iznosima od </w:t>
      </w:r>
      <w:r w:rsidR="00893934">
        <w:rPr>
          <w:rFonts w:eastAsia="Times New Roman"/>
          <w:color w:val="000000"/>
          <w:lang w:eastAsia="hr-HR"/>
        </w:rPr>
        <w:t>597</w:t>
      </w:r>
      <w:r>
        <w:rPr>
          <w:rFonts w:eastAsia="Times New Roman"/>
          <w:color w:val="000000"/>
          <w:lang w:eastAsia="hr-HR"/>
        </w:rPr>
        <w:t xml:space="preserve"> EUR za obje godine odnosno također čine 80,36% navedenih rashoda, dok su preostalih 19,64% planirani na izvoru 52 što je u iznosima od 146 EUR za obje godine.</w:t>
      </w:r>
    </w:p>
    <w:p w14:paraId="289C618B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1256D6A8" w14:textId="6FC0F0C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Rashodi za subvencije odnose se na financiranje obnove za objekte koji su u određenom postotku u vlasništvu trgovačkih društava u javnom sektoru, kao i trgovačkih društava, zadruga i obrta izvan javnog sektora, a u 2023. godini planiraju se financirati iz izvora 11 u iznosu od 9.300.81</w:t>
      </w:r>
      <w:r w:rsidR="00923C8B">
        <w:rPr>
          <w:rFonts w:eastAsia="Times New Roman"/>
          <w:color w:val="000000"/>
          <w:lang w:eastAsia="hr-HR"/>
        </w:rPr>
        <w:t>7</w:t>
      </w:r>
      <w:r>
        <w:rPr>
          <w:rFonts w:eastAsia="Times New Roman"/>
          <w:color w:val="000000"/>
          <w:lang w:eastAsia="hr-HR"/>
        </w:rPr>
        <w:t xml:space="preserve"> EUR odnosno </w:t>
      </w:r>
      <w:r w:rsidRPr="00466AB1">
        <w:rPr>
          <w:rFonts w:eastAsia="Times New Roman"/>
          <w:lang w:eastAsia="hr-HR"/>
        </w:rPr>
        <w:t>6</w:t>
      </w:r>
      <w:r w:rsidR="00D62B58" w:rsidRPr="00466AB1">
        <w:rPr>
          <w:rFonts w:eastAsia="Times New Roman"/>
          <w:lang w:eastAsia="hr-HR"/>
        </w:rPr>
        <w:t>3</w:t>
      </w:r>
      <w:r w:rsidRPr="00466AB1">
        <w:rPr>
          <w:rFonts w:eastAsia="Times New Roman"/>
          <w:lang w:eastAsia="hr-HR"/>
        </w:rPr>
        <w:t>,</w:t>
      </w:r>
      <w:r w:rsidR="00D62B58" w:rsidRPr="00466AB1">
        <w:rPr>
          <w:rFonts w:eastAsia="Times New Roman"/>
          <w:lang w:eastAsia="hr-HR"/>
        </w:rPr>
        <w:t>42</w:t>
      </w:r>
      <w:r w:rsidRPr="00466AB1">
        <w:rPr>
          <w:rFonts w:eastAsia="Times New Roman"/>
          <w:lang w:eastAsia="hr-HR"/>
        </w:rPr>
        <w:t>%, izvora 52 u iznosu od 1.860.110 EUR odnosno 12,</w:t>
      </w:r>
      <w:r w:rsidR="009C225C" w:rsidRPr="00466AB1">
        <w:rPr>
          <w:rFonts w:eastAsia="Times New Roman"/>
          <w:lang w:eastAsia="hr-HR"/>
        </w:rPr>
        <w:t>68</w:t>
      </w:r>
      <w:r w:rsidRPr="00466AB1">
        <w:rPr>
          <w:rFonts w:eastAsia="Times New Roman"/>
          <w:lang w:eastAsia="hr-HR"/>
        </w:rPr>
        <w:t>%, izvora 5761 u iznosu od 2.813.724 EUR odnosno 1</w:t>
      </w:r>
      <w:r w:rsidR="001C6D48" w:rsidRPr="00466AB1">
        <w:rPr>
          <w:rFonts w:eastAsia="Times New Roman"/>
          <w:lang w:eastAsia="hr-HR"/>
        </w:rPr>
        <w:t>9</w:t>
      </w:r>
      <w:r w:rsidRPr="00466AB1">
        <w:rPr>
          <w:rFonts w:eastAsia="Times New Roman"/>
          <w:lang w:eastAsia="hr-HR"/>
        </w:rPr>
        <w:t>,</w:t>
      </w:r>
      <w:r w:rsidR="001C6D48" w:rsidRPr="00466AB1">
        <w:rPr>
          <w:rFonts w:eastAsia="Times New Roman"/>
          <w:lang w:eastAsia="hr-HR"/>
        </w:rPr>
        <w:t>1</w:t>
      </w:r>
      <w:r w:rsidRPr="00466AB1">
        <w:rPr>
          <w:rFonts w:eastAsia="Times New Roman"/>
          <w:lang w:eastAsia="hr-HR"/>
        </w:rPr>
        <w:t xml:space="preserve">9% te iz izvora 581 u iznosu od </w:t>
      </w:r>
      <w:r w:rsidR="00C02470" w:rsidRPr="00466AB1">
        <w:rPr>
          <w:rFonts w:eastAsia="Times New Roman"/>
          <w:lang w:eastAsia="hr-HR"/>
        </w:rPr>
        <w:t>690.159</w:t>
      </w:r>
      <w:r w:rsidRPr="00466AB1">
        <w:rPr>
          <w:rFonts w:eastAsia="Times New Roman"/>
          <w:lang w:eastAsia="hr-HR"/>
        </w:rPr>
        <w:t xml:space="preserve"> EUR što čini </w:t>
      </w:r>
      <w:r w:rsidR="00AA3179" w:rsidRPr="00466AB1">
        <w:rPr>
          <w:rFonts w:eastAsia="Times New Roman"/>
          <w:lang w:eastAsia="hr-HR"/>
        </w:rPr>
        <w:t>4</w:t>
      </w:r>
      <w:r w:rsidRPr="00466AB1">
        <w:rPr>
          <w:rFonts w:eastAsia="Times New Roman"/>
          <w:lang w:eastAsia="hr-HR"/>
        </w:rPr>
        <w:t>,</w:t>
      </w:r>
      <w:r w:rsidR="00AA3179" w:rsidRPr="00466AB1">
        <w:rPr>
          <w:rFonts w:eastAsia="Times New Roman"/>
          <w:lang w:eastAsia="hr-HR"/>
        </w:rPr>
        <w:t>7</w:t>
      </w:r>
      <w:r w:rsidRPr="00466AB1">
        <w:rPr>
          <w:rFonts w:eastAsia="Times New Roman"/>
          <w:lang w:eastAsia="hr-HR"/>
        </w:rPr>
        <w:t>1% navedenih rashoda. Za 2024. i 2025. godinu rashodi za subvencije planirani su na izvoru 11 u iznosima od 16.921.096 EUR i 19.496.18</w:t>
      </w:r>
      <w:r w:rsidR="009D414F" w:rsidRPr="00466AB1">
        <w:rPr>
          <w:rFonts w:eastAsia="Times New Roman"/>
          <w:lang w:eastAsia="hr-HR"/>
        </w:rPr>
        <w:t>5</w:t>
      </w:r>
      <w:r w:rsidRPr="00466AB1">
        <w:rPr>
          <w:rFonts w:eastAsia="Times New Roman"/>
          <w:lang w:eastAsia="hr-HR"/>
        </w:rPr>
        <w:t xml:space="preserve"> EUR odnosno 79,9</w:t>
      </w:r>
      <w:r w:rsidRPr="001C73B6">
        <w:rPr>
          <w:rFonts w:eastAsia="Times New Roman"/>
          <w:lang w:eastAsia="hr-HR"/>
        </w:rPr>
        <w:t>4</w:t>
      </w:r>
      <w:r>
        <w:rPr>
          <w:rFonts w:eastAsia="Times New Roman"/>
          <w:color w:val="000000"/>
          <w:lang w:eastAsia="hr-HR"/>
        </w:rPr>
        <w:t xml:space="preserve">% za 2024. i </w:t>
      </w:r>
      <w:r w:rsidRPr="0067361C">
        <w:rPr>
          <w:rFonts w:eastAsia="Times New Roman"/>
          <w:lang w:eastAsia="hr-HR"/>
        </w:rPr>
        <w:t>80,73</w:t>
      </w:r>
      <w:r>
        <w:rPr>
          <w:rFonts w:eastAsia="Times New Roman"/>
          <w:color w:val="000000"/>
          <w:lang w:eastAsia="hr-HR"/>
        </w:rPr>
        <w:t xml:space="preserve">% za 2025. godinu, na izvoru 52 u iznosima od 3.384.299 EUR i 3.899.263 EUR odnosno </w:t>
      </w:r>
      <w:r w:rsidRPr="000651BD">
        <w:rPr>
          <w:rFonts w:eastAsia="Times New Roman"/>
          <w:lang w:eastAsia="hr-HR"/>
        </w:rPr>
        <w:t>15,99</w:t>
      </w:r>
      <w:r>
        <w:rPr>
          <w:rFonts w:eastAsia="Times New Roman"/>
          <w:color w:val="000000"/>
          <w:lang w:eastAsia="hr-HR"/>
        </w:rPr>
        <w:t xml:space="preserve">% za 2024. i </w:t>
      </w:r>
      <w:r w:rsidRPr="001253E8">
        <w:rPr>
          <w:rFonts w:eastAsia="Times New Roman"/>
          <w:lang w:eastAsia="hr-HR"/>
        </w:rPr>
        <w:t>16,15</w:t>
      </w:r>
      <w:r>
        <w:rPr>
          <w:rFonts w:eastAsia="Times New Roman"/>
          <w:color w:val="000000"/>
          <w:lang w:eastAsia="hr-HR"/>
        </w:rPr>
        <w:t xml:space="preserve">% za 2025. godinu te na izvoru 581 u iznosima od 862.698 EUR i 754.861 EUR što čini </w:t>
      </w:r>
      <w:r w:rsidRPr="00A87105">
        <w:rPr>
          <w:rFonts w:eastAsia="Times New Roman"/>
          <w:lang w:eastAsia="hr-HR"/>
        </w:rPr>
        <w:t>4,07</w:t>
      </w:r>
      <w:r>
        <w:rPr>
          <w:rFonts w:eastAsia="Times New Roman"/>
          <w:color w:val="000000"/>
          <w:lang w:eastAsia="hr-HR"/>
        </w:rPr>
        <w:t xml:space="preserve">% navedenih rashoda za 2024. i </w:t>
      </w:r>
      <w:r w:rsidRPr="004F632F">
        <w:rPr>
          <w:rFonts w:eastAsia="Times New Roman"/>
          <w:lang w:eastAsia="hr-HR"/>
        </w:rPr>
        <w:t>3,12</w:t>
      </w:r>
      <w:r>
        <w:rPr>
          <w:rFonts w:eastAsia="Times New Roman"/>
          <w:color w:val="000000"/>
          <w:lang w:eastAsia="hr-HR"/>
        </w:rPr>
        <w:t xml:space="preserve">% za 2025. godinu. </w:t>
      </w:r>
    </w:p>
    <w:p w14:paraId="462B7C55" w14:textId="77777777" w:rsidR="00274039" w:rsidRDefault="00274039" w:rsidP="009E44AE">
      <w:pPr>
        <w:jc w:val="both"/>
        <w:rPr>
          <w:rFonts w:eastAsia="Times New Roman"/>
          <w:color w:val="000000"/>
          <w:lang w:eastAsia="hr-HR"/>
        </w:rPr>
      </w:pPr>
    </w:p>
    <w:p w14:paraId="2875B79C" w14:textId="38C68148" w:rsidR="009E44AE" w:rsidRDefault="009E44AE" w:rsidP="009E44AE">
      <w:pPr>
        <w:jc w:val="both"/>
        <w:rPr>
          <w:rFonts w:eastAsia="Times New Roman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Rashodi za pomoći dane u inozemstvo i unutar općeg proračuna odnose se na financiranje obnove za objekte koji su određenom postotku u vlasništvu JLP(R)S, a u 2023. godini planiraju </w:t>
      </w:r>
      <w:r>
        <w:rPr>
          <w:rFonts w:eastAsia="Times New Roman"/>
          <w:color w:val="000000"/>
          <w:lang w:eastAsia="hr-HR"/>
        </w:rPr>
        <w:lastRenderedPageBreak/>
        <w:t xml:space="preserve">se financirati iz izvora 11 u iznosu od 2.452.452 EUR </w:t>
      </w:r>
      <w:r w:rsidRPr="00466AB1">
        <w:rPr>
          <w:rFonts w:eastAsia="Times New Roman"/>
          <w:lang w:eastAsia="hr-HR"/>
        </w:rPr>
        <w:t xml:space="preserve">odnosno 83,33% i iz izvora 52 u iznosu od 490.543 EUR što čini 16,67% navedenih rashoda. Za 2024. i 2025. godinu rashodi za pomoći dane u inozemstvo i unutar općeg proračuna planirani su na izvoru </w:t>
      </w:r>
      <w:r w:rsidRPr="005E47E0">
        <w:rPr>
          <w:rFonts w:eastAsia="Times New Roman"/>
          <w:lang w:eastAsia="hr-HR"/>
        </w:rPr>
        <w:t xml:space="preserve">11 u iznosima od 4.456.699 EUR i 5.133.453 EUR odnosno čine </w:t>
      </w:r>
      <w:r w:rsidRPr="00972CDD">
        <w:rPr>
          <w:rFonts w:eastAsia="Times New Roman"/>
          <w:lang w:eastAsia="hr-HR"/>
        </w:rPr>
        <w:t>83,33% navedenih rashoda za obje godine, dok su preostalih 16,67% planirani na izvoru 52 što je u iznosima 891.366 EUR za 2024. odnosno 1.026.611 EUR za 2025. godinu.</w:t>
      </w:r>
    </w:p>
    <w:p w14:paraId="4711A793" w14:textId="77777777" w:rsidR="009E44AE" w:rsidRDefault="009E44AE" w:rsidP="009E44AE">
      <w:pPr>
        <w:jc w:val="both"/>
        <w:rPr>
          <w:rFonts w:eastAsia="Times New Roman"/>
          <w:lang w:eastAsia="hr-HR"/>
        </w:rPr>
      </w:pPr>
    </w:p>
    <w:p w14:paraId="0B568C52" w14:textId="38798F6E" w:rsidR="009E44AE" w:rsidRPr="00E706BC" w:rsidRDefault="009E44AE" w:rsidP="009E44AE">
      <w:pPr>
        <w:jc w:val="both"/>
        <w:rPr>
          <w:rFonts w:eastAsia="Times New Roman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Rashodi za naknade građanima i kućanstvima na temelju osiguranja i druge naknade odnose se na financiranje obnove za objekte koji su u potpunom ili određenom postotku u vlasništvu fizičkih osoba, a u 2023. godini planiraju se financirati iz izvora 11 u iznosu od </w:t>
      </w:r>
      <w:r w:rsidRPr="00C51D29">
        <w:rPr>
          <w:rFonts w:eastAsia="Times New Roman"/>
          <w:lang w:eastAsia="hr-HR"/>
        </w:rPr>
        <w:t xml:space="preserve">80.835.888 EUR odnosno </w:t>
      </w:r>
      <w:r w:rsidR="00D11B3C" w:rsidRPr="00466AB1">
        <w:rPr>
          <w:rFonts w:eastAsia="Times New Roman"/>
          <w:lang w:eastAsia="hr-HR"/>
        </w:rPr>
        <w:t>73</w:t>
      </w:r>
      <w:r w:rsidRPr="00466AB1">
        <w:rPr>
          <w:rFonts w:eastAsia="Times New Roman"/>
          <w:lang w:eastAsia="hr-HR"/>
        </w:rPr>
        <w:t>,</w:t>
      </w:r>
      <w:r w:rsidR="00D11B3C" w:rsidRPr="00466AB1">
        <w:rPr>
          <w:rFonts w:eastAsia="Times New Roman"/>
          <w:lang w:eastAsia="hr-HR"/>
        </w:rPr>
        <w:t>77</w:t>
      </w:r>
      <w:r w:rsidRPr="00466AB1">
        <w:rPr>
          <w:rFonts w:eastAsia="Times New Roman"/>
          <w:lang w:eastAsia="hr-HR"/>
        </w:rPr>
        <w:t>%, izvora 52 u iznosu od 16.167.231 EUR odnosno 1</w:t>
      </w:r>
      <w:r w:rsidR="00480FA0" w:rsidRPr="00466AB1">
        <w:rPr>
          <w:rFonts w:eastAsia="Times New Roman"/>
          <w:lang w:eastAsia="hr-HR"/>
        </w:rPr>
        <w:t>4</w:t>
      </w:r>
      <w:r w:rsidRPr="00466AB1">
        <w:rPr>
          <w:rFonts w:eastAsia="Times New Roman"/>
          <w:lang w:eastAsia="hr-HR"/>
        </w:rPr>
        <w:t>,</w:t>
      </w:r>
      <w:r w:rsidR="00480FA0" w:rsidRPr="00466AB1">
        <w:rPr>
          <w:rFonts w:eastAsia="Times New Roman"/>
          <w:lang w:eastAsia="hr-HR"/>
        </w:rPr>
        <w:t>75</w:t>
      </w:r>
      <w:r w:rsidRPr="00466AB1">
        <w:rPr>
          <w:rFonts w:eastAsia="Times New Roman"/>
          <w:lang w:eastAsia="hr-HR"/>
        </w:rPr>
        <w:t xml:space="preserve">%, izvora 5761 u iznosu od </w:t>
      </w:r>
      <w:r w:rsidR="006B2993" w:rsidRPr="00466AB1">
        <w:rPr>
          <w:rFonts w:eastAsia="Times New Roman"/>
          <w:lang w:eastAsia="hr-HR"/>
        </w:rPr>
        <w:t>7.262.149</w:t>
      </w:r>
      <w:r w:rsidRPr="00466AB1">
        <w:rPr>
          <w:rFonts w:eastAsia="Times New Roman"/>
          <w:lang w:eastAsia="hr-HR"/>
        </w:rPr>
        <w:t xml:space="preserve"> EUR odnosno </w:t>
      </w:r>
      <w:r w:rsidR="001B49DF" w:rsidRPr="00466AB1">
        <w:rPr>
          <w:rFonts w:eastAsia="Times New Roman"/>
          <w:lang w:eastAsia="hr-HR"/>
        </w:rPr>
        <w:t>6</w:t>
      </w:r>
      <w:r w:rsidRPr="00466AB1">
        <w:rPr>
          <w:rFonts w:eastAsia="Times New Roman"/>
          <w:lang w:eastAsia="hr-HR"/>
        </w:rPr>
        <w:t>,6</w:t>
      </w:r>
      <w:r w:rsidR="001B49DF" w:rsidRPr="00466AB1">
        <w:rPr>
          <w:rFonts w:eastAsia="Times New Roman"/>
          <w:lang w:eastAsia="hr-HR"/>
        </w:rPr>
        <w:t>3</w:t>
      </w:r>
      <w:r w:rsidRPr="00466AB1">
        <w:rPr>
          <w:rFonts w:eastAsia="Times New Roman"/>
          <w:lang w:eastAsia="hr-HR"/>
        </w:rPr>
        <w:t xml:space="preserve">% te iz izvora 581 u iznosu od </w:t>
      </w:r>
      <w:r w:rsidR="002311B1" w:rsidRPr="00466AB1">
        <w:rPr>
          <w:rFonts w:eastAsia="Times New Roman"/>
          <w:lang w:eastAsia="hr-HR"/>
        </w:rPr>
        <w:t>5</w:t>
      </w:r>
      <w:r w:rsidRPr="00466AB1">
        <w:rPr>
          <w:rFonts w:eastAsia="Times New Roman"/>
          <w:lang w:eastAsia="hr-HR"/>
        </w:rPr>
        <w:t>.3</w:t>
      </w:r>
      <w:r w:rsidR="002311B1" w:rsidRPr="00466AB1">
        <w:rPr>
          <w:rFonts w:eastAsia="Times New Roman"/>
          <w:lang w:eastAsia="hr-HR"/>
        </w:rPr>
        <w:t>08.912</w:t>
      </w:r>
      <w:r w:rsidRPr="00466AB1">
        <w:rPr>
          <w:rFonts w:eastAsia="Times New Roman"/>
          <w:lang w:eastAsia="hr-HR"/>
        </w:rPr>
        <w:t xml:space="preserve"> EUR što čini </w:t>
      </w:r>
      <w:r w:rsidR="003B6AEE" w:rsidRPr="00466AB1">
        <w:rPr>
          <w:rFonts w:eastAsia="Times New Roman"/>
          <w:lang w:eastAsia="hr-HR"/>
        </w:rPr>
        <w:t>4</w:t>
      </w:r>
      <w:r w:rsidRPr="00466AB1">
        <w:rPr>
          <w:rFonts w:eastAsia="Times New Roman"/>
          <w:lang w:eastAsia="hr-HR"/>
        </w:rPr>
        <w:t>,</w:t>
      </w:r>
      <w:r w:rsidR="00F55F70" w:rsidRPr="00466AB1">
        <w:rPr>
          <w:rFonts w:eastAsia="Times New Roman"/>
          <w:lang w:eastAsia="hr-HR"/>
        </w:rPr>
        <w:t>8</w:t>
      </w:r>
      <w:r w:rsidR="00F25DE5" w:rsidRPr="00466AB1">
        <w:rPr>
          <w:rFonts w:eastAsia="Times New Roman"/>
          <w:lang w:eastAsia="hr-HR"/>
        </w:rPr>
        <w:t>5</w:t>
      </w:r>
      <w:r w:rsidRPr="00466AB1">
        <w:rPr>
          <w:rFonts w:eastAsia="Times New Roman"/>
          <w:lang w:eastAsia="hr-HR"/>
        </w:rPr>
        <w:t xml:space="preserve">% navedenih rashoda. Za 2024. i 2025. godinu rashodi za naknade građanima i kućanstvima na temelju osiguranja </w:t>
      </w:r>
      <w:r w:rsidRPr="008A25E6">
        <w:rPr>
          <w:rFonts w:eastAsia="Times New Roman"/>
          <w:lang w:eastAsia="hr-HR"/>
        </w:rPr>
        <w:t>i druge naknade planirani su na izvoru 11 u iznosima od 150.592.209 EUR i 174.870.263 EUR</w:t>
      </w:r>
      <w:r w:rsidRPr="009B1D79">
        <w:rPr>
          <w:rFonts w:eastAsia="Times New Roman"/>
          <w:color w:val="FF0000"/>
          <w:lang w:eastAsia="hr-HR"/>
        </w:rPr>
        <w:t xml:space="preserve"> </w:t>
      </w:r>
      <w:r w:rsidRPr="004E5347">
        <w:rPr>
          <w:rFonts w:eastAsia="Times New Roman"/>
          <w:lang w:eastAsia="hr-HR"/>
        </w:rPr>
        <w:t>odnosno 80,38% za 2024. i 81,09% za 2025. godinu,</w:t>
      </w:r>
      <w:r w:rsidRPr="009B1D79">
        <w:rPr>
          <w:rFonts w:eastAsia="Times New Roman"/>
          <w:color w:val="FF0000"/>
          <w:lang w:eastAsia="hr-HR"/>
        </w:rPr>
        <w:t xml:space="preserve"> </w:t>
      </w:r>
      <w:r w:rsidRPr="00567003">
        <w:rPr>
          <w:rFonts w:eastAsia="Times New Roman"/>
          <w:lang w:eastAsia="hr-HR"/>
        </w:rPr>
        <w:t xml:space="preserve">na izvoru 52 u iznosima od 30.118.521 EUR i 34.974.053 EUR </w:t>
      </w:r>
      <w:r w:rsidRPr="00924331">
        <w:rPr>
          <w:rFonts w:eastAsia="Times New Roman"/>
          <w:lang w:eastAsia="hr-HR"/>
        </w:rPr>
        <w:t>odnosno 16,08% za 2024</w:t>
      </w:r>
      <w:r w:rsidRPr="00E706BC">
        <w:rPr>
          <w:rFonts w:eastAsia="Times New Roman"/>
          <w:lang w:eastAsia="hr-HR"/>
        </w:rPr>
        <w:t>. i 16,22% za 2025. godinu te na izvoru 581 u iznosima od 6.636.140 EUR i 5.806.623 EUR što čini 3,54% navedenih rashoda za 2024. i 2,69% za 2025. godinu.</w:t>
      </w:r>
    </w:p>
    <w:p w14:paraId="1251D812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68DAD971" w14:textId="27649A2B" w:rsidR="009E44AE" w:rsidRDefault="009E44AE" w:rsidP="009E44AE">
      <w:pPr>
        <w:jc w:val="both"/>
        <w:rPr>
          <w:rFonts w:eastAsia="Times New Roman"/>
          <w:lang w:eastAsia="hr-HR"/>
        </w:rPr>
      </w:pPr>
      <w:r>
        <w:rPr>
          <w:rFonts w:eastAsia="Times New Roman"/>
          <w:color w:val="000000"/>
          <w:lang w:eastAsia="hr-HR"/>
        </w:rPr>
        <w:t>Ostali rashodi odnose se na financiranje obnove za objekte koji su u određenom postotku u vlasništvu neprofitnih organizacija, kao i za naknade za štete uzrokovane potresom pravnim i fizički</w:t>
      </w:r>
      <w:r w:rsidR="00AC6069">
        <w:rPr>
          <w:rFonts w:eastAsia="Times New Roman"/>
          <w:color w:val="000000"/>
          <w:lang w:eastAsia="hr-HR"/>
        </w:rPr>
        <w:t>m</w:t>
      </w:r>
      <w:r>
        <w:rPr>
          <w:rFonts w:eastAsia="Times New Roman"/>
          <w:color w:val="000000"/>
          <w:lang w:eastAsia="hr-HR"/>
        </w:rPr>
        <w:t xml:space="preserve"> osobama, a u 2023. godini planiraju se financirati iz izvora 11 u iznosu od 4.472.095 EUR </w:t>
      </w:r>
      <w:r w:rsidRPr="00466AB1">
        <w:rPr>
          <w:rFonts w:eastAsia="Times New Roman"/>
          <w:lang w:eastAsia="hr-HR"/>
        </w:rPr>
        <w:t>odnosno 79,03%, izvora 52 u iznosu od 496.25</w:t>
      </w:r>
      <w:r w:rsidR="00C53615" w:rsidRPr="00466AB1">
        <w:rPr>
          <w:rFonts w:eastAsia="Times New Roman"/>
          <w:lang w:eastAsia="hr-HR"/>
        </w:rPr>
        <w:t>0</w:t>
      </w:r>
      <w:r w:rsidRPr="00466AB1">
        <w:rPr>
          <w:rFonts w:eastAsia="Times New Roman"/>
          <w:lang w:eastAsia="hr-HR"/>
        </w:rPr>
        <w:t xml:space="preserve"> EUR odnosno 8,77% te iz izvora 5</w:t>
      </w:r>
      <w:r w:rsidR="005E300B" w:rsidRPr="00466AB1">
        <w:rPr>
          <w:rFonts w:eastAsia="Times New Roman"/>
          <w:lang w:eastAsia="hr-HR"/>
        </w:rPr>
        <w:t>76</w:t>
      </w:r>
      <w:r w:rsidRPr="00466AB1">
        <w:rPr>
          <w:rFonts w:eastAsia="Times New Roman"/>
          <w:lang w:eastAsia="hr-HR"/>
        </w:rPr>
        <w:t xml:space="preserve">1 u iznosu od 690.159 EUR što čini 12,20% navedenih rashoda. Za 2024. i 2025. godinu ostali </w:t>
      </w:r>
      <w:r w:rsidRPr="005E47E0">
        <w:rPr>
          <w:rFonts w:eastAsia="Times New Roman"/>
          <w:lang w:eastAsia="hr-HR"/>
        </w:rPr>
        <w:t xml:space="preserve">rashodi planirani su na izvoru 11 u iznosima od </w:t>
      </w:r>
      <w:r>
        <w:rPr>
          <w:rFonts w:eastAsia="Times New Roman"/>
          <w:lang w:eastAsia="hr-HR"/>
        </w:rPr>
        <w:t>3.545.82</w:t>
      </w:r>
      <w:r w:rsidR="00C53615">
        <w:rPr>
          <w:rFonts w:eastAsia="Times New Roman"/>
          <w:lang w:eastAsia="hr-HR"/>
        </w:rPr>
        <w:t>2</w:t>
      </w:r>
      <w:r w:rsidRPr="005E47E0">
        <w:rPr>
          <w:rFonts w:eastAsia="Times New Roman"/>
          <w:lang w:eastAsia="hr-HR"/>
        </w:rPr>
        <w:t xml:space="preserve"> EUR i </w:t>
      </w:r>
      <w:r>
        <w:rPr>
          <w:rFonts w:eastAsia="Times New Roman"/>
          <w:lang w:eastAsia="hr-HR"/>
        </w:rPr>
        <w:t>2.353.972</w:t>
      </w:r>
      <w:r w:rsidRPr="005E47E0">
        <w:rPr>
          <w:rFonts w:eastAsia="Times New Roman"/>
          <w:lang w:eastAsia="hr-HR"/>
        </w:rPr>
        <w:t xml:space="preserve"> EUR odnosno čine </w:t>
      </w:r>
      <w:r w:rsidRPr="00AA2B5B">
        <w:rPr>
          <w:rFonts w:eastAsia="Times New Roman"/>
          <w:lang w:eastAsia="hr-HR"/>
        </w:rPr>
        <w:t xml:space="preserve">88,88% </w:t>
      </w:r>
      <w:r w:rsidRPr="00972CDD">
        <w:rPr>
          <w:rFonts w:eastAsia="Times New Roman"/>
          <w:lang w:eastAsia="hr-HR"/>
        </w:rPr>
        <w:t xml:space="preserve">navedenih rashoda za </w:t>
      </w:r>
      <w:r>
        <w:rPr>
          <w:rFonts w:eastAsia="Times New Roman"/>
          <w:color w:val="000000"/>
          <w:lang w:eastAsia="hr-HR"/>
        </w:rPr>
        <w:t xml:space="preserve">2024. i </w:t>
      </w:r>
      <w:r w:rsidRPr="00421DFC">
        <w:rPr>
          <w:rFonts w:eastAsia="Times New Roman"/>
          <w:lang w:eastAsia="hr-HR"/>
        </w:rPr>
        <w:t xml:space="preserve">87,44% </w:t>
      </w:r>
      <w:r>
        <w:rPr>
          <w:rFonts w:eastAsia="Times New Roman"/>
          <w:color w:val="000000"/>
          <w:lang w:eastAsia="hr-HR"/>
        </w:rPr>
        <w:t>za 2025. godinu</w:t>
      </w:r>
      <w:r w:rsidRPr="00972CDD">
        <w:rPr>
          <w:rFonts w:eastAsia="Times New Roman"/>
          <w:lang w:eastAsia="hr-HR"/>
        </w:rPr>
        <w:t xml:space="preserve">, dok su preostalih </w:t>
      </w:r>
      <w:r w:rsidRPr="00B93FA4">
        <w:rPr>
          <w:rFonts w:eastAsia="Times New Roman"/>
          <w:lang w:eastAsia="hr-HR"/>
        </w:rPr>
        <w:t xml:space="preserve">11,12% i 12,56% </w:t>
      </w:r>
      <w:r w:rsidRPr="00972CDD">
        <w:rPr>
          <w:rFonts w:eastAsia="Times New Roman"/>
          <w:lang w:eastAsia="hr-HR"/>
        </w:rPr>
        <w:t xml:space="preserve">planirani na izvoru 52 što je u iznosima </w:t>
      </w:r>
      <w:r>
        <w:rPr>
          <w:rFonts w:eastAsia="Times New Roman"/>
          <w:lang w:eastAsia="hr-HR"/>
        </w:rPr>
        <w:t>443.69</w:t>
      </w:r>
      <w:r w:rsidR="008A6CC7">
        <w:rPr>
          <w:rFonts w:eastAsia="Times New Roman"/>
          <w:lang w:eastAsia="hr-HR"/>
        </w:rPr>
        <w:t>3</w:t>
      </w:r>
      <w:r w:rsidRPr="00972CDD">
        <w:rPr>
          <w:rFonts w:eastAsia="Times New Roman"/>
          <w:lang w:eastAsia="hr-HR"/>
        </w:rPr>
        <w:t xml:space="preserve"> EUR za 2024. odnosno HRK </w:t>
      </w:r>
      <w:r>
        <w:rPr>
          <w:rFonts w:eastAsia="Times New Roman"/>
          <w:lang w:eastAsia="hr-HR"/>
        </w:rPr>
        <w:t>338.045</w:t>
      </w:r>
      <w:r w:rsidRPr="00972CDD">
        <w:rPr>
          <w:rFonts w:eastAsia="Times New Roman"/>
          <w:lang w:eastAsia="hr-HR"/>
        </w:rPr>
        <w:t xml:space="preserve"> EUR za 2025. godinu.</w:t>
      </w:r>
    </w:p>
    <w:p w14:paraId="2ED4B904" w14:textId="77777777" w:rsidR="009E44AE" w:rsidRDefault="009E44AE" w:rsidP="009E44AE">
      <w:pPr>
        <w:jc w:val="both"/>
        <w:rPr>
          <w:rFonts w:eastAsia="Times New Roman"/>
          <w:lang w:eastAsia="hr-HR"/>
        </w:rPr>
      </w:pPr>
    </w:p>
    <w:p w14:paraId="31CA96AF" w14:textId="52A27EBD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lang w:eastAsia="hr-HR"/>
        </w:rPr>
        <w:t xml:space="preserve">Rashodi za nabavu neproizvedene dugotrajne imovine odnose se na nabavu licenci za potrebe informatizacije rada Fonda za </w:t>
      </w:r>
      <w:r w:rsidRPr="00466AB1">
        <w:rPr>
          <w:rFonts w:eastAsia="Times New Roman"/>
          <w:lang w:eastAsia="hr-HR"/>
        </w:rPr>
        <w:t xml:space="preserve">obnovu, a u 2023. godini planiraju se financirati iz izvora 11 u iznosu od 6.902 EUR odnosno 80,00% i iz izvora 52 u iznosu od 1.725 EUR što čini 20,00% navedenih rashoda. Za 2024. i 2025. godinu rashodi za nabavu neproizvedene dugotrajne </w:t>
      </w:r>
      <w:r>
        <w:rPr>
          <w:rFonts w:eastAsia="Times New Roman"/>
          <w:lang w:eastAsia="hr-HR"/>
        </w:rPr>
        <w:t>imovine</w:t>
      </w:r>
      <w:r>
        <w:rPr>
          <w:rFonts w:eastAsia="Times New Roman"/>
          <w:color w:val="000000"/>
          <w:lang w:eastAsia="hr-HR"/>
        </w:rPr>
        <w:t xml:space="preserve"> planirani su na izvoru 11 u iznosima od 5.973 EUR za obje godine odnosno čine </w:t>
      </w:r>
      <w:r w:rsidRPr="00497275">
        <w:rPr>
          <w:rFonts w:eastAsia="Times New Roman"/>
          <w:lang w:eastAsia="hr-HR"/>
        </w:rPr>
        <w:t xml:space="preserve">80,36% </w:t>
      </w:r>
      <w:r>
        <w:rPr>
          <w:rFonts w:eastAsia="Times New Roman"/>
          <w:color w:val="000000"/>
          <w:lang w:eastAsia="hr-HR"/>
        </w:rPr>
        <w:t xml:space="preserve">navedenih rashoda, dok su preostalih </w:t>
      </w:r>
      <w:r w:rsidRPr="00497275">
        <w:rPr>
          <w:rFonts w:eastAsia="Times New Roman"/>
          <w:lang w:eastAsia="hr-HR"/>
        </w:rPr>
        <w:t xml:space="preserve">19,64% </w:t>
      </w:r>
      <w:r>
        <w:rPr>
          <w:rFonts w:eastAsia="Times New Roman"/>
          <w:color w:val="000000"/>
          <w:lang w:eastAsia="hr-HR"/>
        </w:rPr>
        <w:t>planirani na izvoru 52 što iznosi 1.460 EUR za obje godine.</w:t>
      </w:r>
    </w:p>
    <w:p w14:paraId="4403954F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5883DA74" w14:textId="53BBFE23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lang w:eastAsia="hr-HR"/>
        </w:rPr>
        <w:t>Rashodi za nabavu proizvedene dugotrajne imovine odnose se na nabavu postrojenja i opreme za administrativne potrebe (uredska oprema i namještaj, komunikacijska oprema, oprema za održavanje i zaštitu te uređaji, strojevi i oprema za ostale namjene), kao i na nabavu post</w:t>
      </w:r>
      <w:r w:rsidR="00447879">
        <w:rPr>
          <w:rFonts w:eastAsia="Times New Roman"/>
          <w:lang w:eastAsia="hr-HR"/>
        </w:rPr>
        <w:t>r</w:t>
      </w:r>
      <w:r>
        <w:rPr>
          <w:rFonts w:eastAsia="Times New Roman"/>
          <w:lang w:eastAsia="hr-HR"/>
        </w:rPr>
        <w:t xml:space="preserve">ojenja i opreme (računala i računalna oprema) i nematerijalne proizvedene imovine (ulaganja u računalne programe) za potrebe informatizacije rada Fonda za obnovu, a u </w:t>
      </w:r>
      <w:r>
        <w:rPr>
          <w:rFonts w:eastAsia="Times New Roman"/>
          <w:color w:val="000000"/>
          <w:lang w:eastAsia="hr-HR"/>
        </w:rPr>
        <w:t>2023. godini planiraju se financirati iz izvora 11 u iznosu od 332.47</w:t>
      </w:r>
      <w:r w:rsidR="00AE1DDA">
        <w:rPr>
          <w:rFonts w:eastAsia="Times New Roman"/>
          <w:color w:val="000000"/>
          <w:lang w:eastAsia="hr-HR"/>
        </w:rPr>
        <w:t>0</w:t>
      </w:r>
      <w:r>
        <w:rPr>
          <w:rFonts w:eastAsia="Times New Roman"/>
          <w:color w:val="000000"/>
          <w:lang w:eastAsia="hr-HR"/>
        </w:rPr>
        <w:t xml:space="preserve"> EUR </w:t>
      </w:r>
      <w:r w:rsidRPr="00466AB1">
        <w:rPr>
          <w:rFonts w:eastAsia="Times New Roman"/>
          <w:lang w:eastAsia="hr-HR"/>
        </w:rPr>
        <w:t>odnosno 6</w:t>
      </w:r>
      <w:r w:rsidR="00F93F09" w:rsidRPr="00466AB1">
        <w:rPr>
          <w:rFonts w:eastAsia="Times New Roman"/>
          <w:lang w:eastAsia="hr-HR"/>
        </w:rPr>
        <w:t>3</w:t>
      </w:r>
      <w:r w:rsidRPr="00466AB1">
        <w:rPr>
          <w:rFonts w:eastAsia="Times New Roman"/>
          <w:lang w:eastAsia="hr-HR"/>
        </w:rPr>
        <w:t>,7</w:t>
      </w:r>
      <w:r w:rsidR="00F93F09" w:rsidRPr="00466AB1">
        <w:rPr>
          <w:rFonts w:eastAsia="Times New Roman"/>
          <w:lang w:eastAsia="hr-HR"/>
        </w:rPr>
        <w:t>6</w:t>
      </w:r>
      <w:r w:rsidRPr="00466AB1">
        <w:rPr>
          <w:rFonts w:eastAsia="Times New Roman"/>
          <w:lang w:eastAsia="hr-HR"/>
        </w:rPr>
        <w:t>%, izvora 52 u iznosu od 82.8</w:t>
      </w:r>
      <w:r w:rsidR="00AE1DDA" w:rsidRPr="00466AB1">
        <w:rPr>
          <w:rFonts w:eastAsia="Times New Roman"/>
          <w:lang w:eastAsia="hr-HR"/>
        </w:rPr>
        <w:t>20</w:t>
      </w:r>
      <w:r w:rsidRPr="00466AB1">
        <w:rPr>
          <w:rFonts w:eastAsia="Times New Roman"/>
          <w:lang w:eastAsia="hr-HR"/>
        </w:rPr>
        <w:t xml:space="preserve"> EUR odnosno 15,</w:t>
      </w:r>
      <w:r w:rsidR="00F93F09" w:rsidRPr="00466AB1">
        <w:rPr>
          <w:rFonts w:eastAsia="Times New Roman"/>
          <w:lang w:eastAsia="hr-HR"/>
        </w:rPr>
        <w:t>88</w:t>
      </w:r>
      <w:r w:rsidRPr="00466AB1">
        <w:rPr>
          <w:rFonts w:eastAsia="Times New Roman"/>
          <w:lang w:eastAsia="hr-HR"/>
        </w:rPr>
        <w:t>% te iz izvora 581 u iznosu od 1</w:t>
      </w:r>
      <w:r w:rsidR="00F26036" w:rsidRPr="00466AB1">
        <w:rPr>
          <w:rFonts w:eastAsia="Times New Roman"/>
          <w:lang w:eastAsia="hr-HR"/>
        </w:rPr>
        <w:t>06</w:t>
      </w:r>
      <w:r w:rsidRPr="00466AB1">
        <w:rPr>
          <w:rFonts w:eastAsia="Times New Roman"/>
          <w:lang w:eastAsia="hr-HR"/>
        </w:rPr>
        <w:t>.</w:t>
      </w:r>
      <w:r w:rsidR="00F26036" w:rsidRPr="00466AB1">
        <w:rPr>
          <w:rFonts w:eastAsia="Times New Roman"/>
          <w:lang w:eastAsia="hr-HR"/>
        </w:rPr>
        <w:t>178</w:t>
      </w:r>
      <w:r w:rsidRPr="00466AB1">
        <w:rPr>
          <w:rFonts w:eastAsia="Times New Roman"/>
          <w:lang w:eastAsia="hr-HR"/>
        </w:rPr>
        <w:t xml:space="preserve"> EUR</w:t>
      </w:r>
      <w:r w:rsidR="004A6EFC" w:rsidRPr="00466AB1">
        <w:rPr>
          <w:rFonts w:eastAsia="Times New Roman"/>
          <w:lang w:eastAsia="hr-HR"/>
        </w:rPr>
        <w:t xml:space="preserve"> </w:t>
      </w:r>
      <w:r w:rsidRPr="00466AB1">
        <w:rPr>
          <w:rFonts w:eastAsia="Times New Roman"/>
          <w:lang w:eastAsia="hr-HR"/>
        </w:rPr>
        <w:t>što čini 2</w:t>
      </w:r>
      <w:r w:rsidR="00953A33" w:rsidRPr="00466AB1">
        <w:rPr>
          <w:rFonts w:eastAsia="Times New Roman"/>
          <w:lang w:eastAsia="hr-HR"/>
        </w:rPr>
        <w:t>0</w:t>
      </w:r>
      <w:r w:rsidRPr="00466AB1">
        <w:rPr>
          <w:rFonts w:eastAsia="Times New Roman"/>
          <w:lang w:eastAsia="hr-HR"/>
        </w:rPr>
        <w:t>,</w:t>
      </w:r>
      <w:r w:rsidR="00953A33" w:rsidRPr="00466AB1">
        <w:rPr>
          <w:rFonts w:eastAsia="Times New Roman"/>
          <w:lang w:eastAsia="hr-HR"/>
        </w:rPr>
        <w:t>36</w:t>
      </w:r>
      <w:r w:rsidRPr="00466AB1">
        <w:rPr>
          <w:rFonts w:eastAsia="Times New Roman"/>
          <w:lang w:eastAsia="hr-HR"/>
        </w:rPr>
        <w:t>% navedenih rashoda. Za 2024. i 2025. godinu rashodi za nabavu proizvedene dugotrajne imovine planirani su na izvoru 11 u iznosima od 142.013 EUR i 38.490 EUR odnosno 45</w:t>
      </w:r>
      <w:r w:rsidRPr="007773AB">
        <w:rPr>
          <w:rFonts w:eastAsia="Times New Roman"/>
          <w:lang w:eastAsia="hr-HR"/>
        </w:rPr>
        <w:t xml:space="preserve">,80% </w:t>
      </w:r>
      <w:r>
        <w:rPr>
          <w:rFonts w:eastAsia="Times New Roman"/>
          <w:color w:val="000000"/>
          <w:lang w:eastAsia="hr-HR"/>
        </w:rPr>
        <w:t xml:space="preserve">za 2024. i </w:t>
      </w:r>
      <w:r w:rsidRPr="008D1D3C">
        <w:rPr>
          <w:rFonts w:eastAsia="Times New Roman"/>
          <w:lang w:eastAsia="hr-HR"/>
        </w:rPr>
        <w:t xml:space="preserve">23,46% </w:t>
      </w:r>
      <w:r>
        <w:rPr>
          <w:rFonts w:eastAsia="Times New Roman"/>
          <w:color w:val="000000"/>
          <w:lang w:eastAsia="hr-HR"/>
        </w:rPr>
        <w:t>za 2025. godinu, na izvoru 52 u iznosima od 35.30</w:t>
      </w:r>
      <w:r w:rsidR="000C00C8">
        <w:rPr>
          <w:rFonts w:eastAsia="Times New Roman"/>
          <w:color w:val="000000"/>
          <w:lang w:eastAsia="hr-HR"/>
        </w:rPr>
        <w:t>5</w:t>
      </w:r>
      <w:r>
        <w:rPr>
          <w:rFonts w:eastAsia="Times New Roman"/>
          <w:color w:val="000000"/>
          <w:lang w:eastAsia="hr-HR"/>
        </w:rPr>
        <w:t xml:space="preserve"> EUR i 9.42</w:t>
      </w:r>
      <w:r w:rsidR="000C00C8">
        <w:rPr>
          <w:rFonts w:eastAsia="Times New Roman"/>
          <w:color w:val="000000"/>
          <w:lang w:eastAsia="hr-HR"/>
        </w:rPr>
        <w:t>4</w:t>
      </w:r>
      <w:r>
        <w:rPr>
          <w:rFonts w:eastAsia="Times New Roman"/>
          <w:color w:val="000000"/>
          <w:lang w:eastAsia="hr-HR"/>
        </w:rPr>
        <w:t xml:space="preserve"> EUR odnosno </w:t>
      </w:r>
      <w:r w:rsidRPr="00AB0987">
        <w:rPr>
          <w:rFonts w:eastAsia="Times New Roman"/>
          <w:lang w:eastAsia="hr-HR"/>
        </w:rPr>
        <w:t xml:space="preserve">11,39% </w:t>
      </w:r>
      <w:r>
        <w:rPr>
          <w:rFonts w:eastAsia="Times New Roman"/>
          <w:color w:val="000000"/>
          <w:lang w:eastAsia="hr-HR"/>
        </w:rPr>
        <w:t xml:space="preserve">za 2024. i </w:t>
      </w:r>
      <w:r w:rsidRPr="003B5BD2">
        <w:rPr>
          <w:rFonts w:eastAsia="Times New Roman"/>
          <w:lang w:eastAsia="hr-HR"/>
        </w:rPr>
        <w:t>5,7</w:t>
      </w:r>
      <w:r>
        <w:rPr>
          <w:rFonts w:eastAsia="Times New Roman"/>
          <w:lang w:eastAsia="hr-HR"/>
        </w:rPr>
        <w:t>5</w:t>
      </w:r>
      <w:r w:rsidRPr="003B5BD2">
        <w:rPr>
          <w:rFonts w:eastAsia="Times New Roman"/>
          <w:lang w:eastAsia="hr-HR"/>
        </w:rPr>
        <w:t xml:space="preserve">% </w:t>
      </w:r>
      <w:r>
        <w:rPr>
          <w:rFonts w:eastAsia="Times New Roman"/>
          <w:color w:val="000000"/>
          <w:lang w:eastAsia="hr-HR"/>
        </w:rPr>
        <w:t xml:space="preserve">za 2025. godinu te na izvoru 581 u iznosima od 132.723 EUR i 116.132 EUR odnosno što čini </w:t>
      </w:r>
      <w:r w:rsidRPr="00E33AE9">
        <w:rPr>
          <w:rFonts w:eastAsia="Times New Roman"/>
          <w:lang w:eastAsia="hr-HR"/>
        </w:rPr>
        <w:t xml:space="preserve">42,81% </w:t>
      </w:r>
      <w:r>
        <w:rPr>
          <w:rFonts w:eastAsia="Times New Roman"/>
          <w:color w:val="000000"/>
          <w:lang w:eastAsia="hr-HR"/>
        </w:rPr>
        <w:t xml:space="preserve">navedenih rashoda za 2024. i </w:t>
      </w:r>
      <w:r w:rsidRPr="00C47BCC">
        <w:rPr>
          <w:rFonts w:eastAsia="Times New Roman"/>
          <w:lang w:eastAsia="hr-HR"/>
        </w:rPr>
        <w:t xml:space="preserve">70,79% </w:t>
      </w:r>
      <w:r>
        <w:rPr>
          <w:rFonts w:eastAsia="Times New Roman"/>
          <w:color w:val="000000"/>
          <w:lang w:eastAsia="hr-HR"/>
        </w:rPr>
        <w:t>za 2025. godinu.</w:t>
      </w:r>
    </w:p>
    <w:p w14:paraId="55607D6A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71B82D36" w14:textId="5110327F" w:rsidR="009E44AE" w:rsidRPr="00701199" w:rsidRDefault="009E44AE" w:rsidP="009E44AE">
      <w:pPr>
        <w:jc w:val="both"/>
        <w:rPr>
          <w:rFonts w:eastAsia="Times New Roman"/>
          <w:color w:val="000000"/>
          <w:lang w:val="pt-PT" w:eastAsia="en-GB"/>
        </w:rPr>
      </w:pPr>
      <w:r>
        <w:rPr>
          <w:rFonts w:eastAsia="Times New Roman"/>
          <w:color w:val="000000"/>
          <w:lang w:eastAsia="hr-HR"/>
        </w:rPr>
        <w:t xml:space="preserve">Nastavno na obrazložene rashode po izvorima financiranja unutar skupina ekonomske klasifikacije, </w:t>
      </w:r>
      <w:r>
        <w:rPr>
          <w:rFonts w:eastAsia="Times New Roman"/>
          <w:lang w:eastAsia="hr-HR"/>
        </w:rPr>
        <w:t>isti se na razini Fonda za obnovu za 2023</w:t>
      </w:r>
      <w:r w:rsidR="002A5723">
        <w:rPr>
          <w:rFonts w:eastAsia="Times New Roman"/>
          <w:lang w:eastAsia="hr-HR"/>
        </w:rPr>
        <w:t>.</w:t>
      </w:r>
      <w:r>
        <w:rPr>
          <w:rFonts w:eastAsia="Times New Roman"/>
          <w:lang w:eastAsia="hr-HR"/>
        </w:rPr>
        <w:t xml:space="preserve"> godinu </w:t>
      </w:r>
      <w:r w:rsidRPr="00AB28BD">
        <w:rPr>
          <w:rFonts w:eastAsia="Times New Roman"/>
          <w:color w:val="000000"/>
          <w:lang w:eastAsia="hr-HR"/>
        </w:rPr>
        <w:t xml:space="preserve">planiraju financirati iz izvora 11 u iznosu od 104.214.878 EUR </w:t>
      </w:r>
      <w:r>
        <w:rPr>
          <w:rFonts w:eastAsia="Times New Roman"/>
          <w:color w:val="000000"/>
          <w:lang w:eastAsia="hr-HR"/>
        </w:rPr>
        <w:t>odnosno</w:t>
      </w:r>
      <w:r w:rsidRPr="00AB28BD">
        <w:rPr>
          <w:rFonts w:eastAsia="Times New Roman"/>
          <w:color w:val="000000"/>
          <w:lang w:eastAsia="hr-HR"/>
        </w:rPr>
        <w:t xml:space="preserve"> </w:t>
      </w:r>
      <w:r w:rsidRPr="00466AB1">
        <w:rPr>
          <w:rFonts w:eastAsia="Times New Roman"/>
          <w:lang w:eastAsia="hr-HR"/>
        </w:rPr>
        <w:t>7</w:t>
      </w:r>
      <w:r w:rsidR="00EA3B32" w:rsidRPr="00466AB1">
        <w:rPr>
          <w:rFonts w:eastAsia="Times New Roman"/>
          <w:lang w:eastAsia="hr-HR"/>
        </w:rPr>
        <w:t>2</w:t>
      </w:r>
      <w:r w:rsidRPr="00466AB1">
        <w:rPr>
          <w:rFonts w:eastAsia="Times New Roman"/>
          <w:lang w:eastAsia="hr-HR"/>
        </w:rPr>
        <w:t>,</w:t>
      </w:r>
      <w:r w:rsidR="006E275B" w:rsidRPr="00466AB1">
        <w:rPr>
          <w:rFonts w:eastAsia="Times New Roman"/>
          <w:lang w:eastAsia="hr-HR"/>
        </w:rPr>
        <w:t>7</w:t>
      </w:r>
      <w:r w:rsidR="00EA3B32" w:rsidRPr="00466AB1">
        <w:rPr>
          <w:rFonts w:eastAsia="Times New Roman"/>
          <w:lang w:eastAsia="hr-HR"/>
        </w:rPr>
        <w:t>2</w:t>
      </w:r>
      <w:r w:rsidRPr="00466AB1">
        <w:rPr>
          <w:rFonts w:eastAsia="Times New Roman"/>
          <w:lang w:eastAsia="hr-HR"/>
        </w:rPr>
        <w:t xml:space="preserve">%, izvora 5761 u iznosu od </w:t>
      </w:r>
      <w:r w:rsidR="009008B9" w:rsidRPr="00466AB1">
        <w:rPr>
          <w:rFonts w:eastAsia="Times New Roman"/>
          <w:lang w:eastAsia="hr-HR"/>
        </w:rPr>
        <w:t>12</w:t>
      </w:r>
      <w:r w:rsidRPr="00466AB1">
        <w:rPr>
          <w:rFonts w:eastAsia="Times New Roman"/>
          <w:lang w:eastAsia="en-GB"/>
        </w:rPr>
        <w:t>.</w:t>
      </w:r>
      <w:r w:rsidR="009008B9" w:rsidRPr="00466AB1">
        <w:rPr>
          <w:rFonts w:eastAsia="Times New Roman"/>
          <w:lang w:eastAsia="en-GB"/>
        </w:rPr>
        <w:t>040.</w:t>
      </w:r>
      <w:r w:rsidR="00BE04D4" w:rsidRPr="00466AB1">
        <w:rPr>
          <w:rFonts w:eastAsia="Times New Roman"/>
          <w:lang w:eastAsia="en-GB"/>
        </w:rPr>
        <w:t>1</w:t>
      </w:r>
      <w:r w:rsidR="009008B9" w:rsidRPr="00466AB1">
        <w:rPr>
          <w:rFonts w:eastAsia="Times New Roman"/>
          <w:lang w:eastAsia="en-GB"/>
        </w:rPr>
        <w:t>70</w:t>
      </w:r>
      <w:r w:rsidRPr="00466AB1">
        <w:rPr>
          <w:rFonts w:eastAsia="Times New Roman"/>
          <w:lang w:eastAsia="en-GB"/>
        </w:rPr>
        <w:t xml:space="preserve"> EUR odnosno </w:t>
      </w:r>
      <w:r w:rsidR="000C36CA" w:rsidRPr="00466AB1">
        <w:rPr>
          <w:rFonts w:eastAsia="Times New Roman"/>
          <w:lang w:eastAsia="en-GB"/>
        </w:rPr>
        <w:t>8</w:t>
      </w:r>
      <w:r w:rsidRPr="00466AB1">
        <w:rPr>
          <w:rFonts w:eastAsia="Times New Roman"/>
          <w:lang w:eastAsia="hr-HR"/>
        </w:rPr>
        <w:t>,</w:t>
      </w:r>
      <w:r w:rsidR="000C36CA" w:rsidRPr="00466AB1">
        <w:rPr>
          <w:rFonts w:eastAsia="Times New Roman"/>
          <w:lang w:eastAsia="hr-HR"/>
        </w:rPr>
        <w:t>40</w:t>
      </w:r>
      <w:r w:rsidRPr="00466AB1">
        <w:rPr>
          <w:rFonts w:eastAsia="Times New Roman"/>
          <w:lang w:eastAsia="hr-HR"/>
        </w:rPr>
        <w:t xml:space="preserve">%, izvora 52 u iznosu od </w:t>
      </w:r>
      <w:r w:rsidRPr="00466AB1">
        <w:rPr>
          <w:rFonts w:eastAsia="Times New Roman"/>
          <w:lang w:eastAsia="en-GB"/>
        </w:rPr>
        <w:t xml:space="preserve">20.677.457 EUR odnosno </w:t>
      </w:r>
      <w:r w:rsidRPr="00466AB1">
        <w:rPr>
          <w:rFonts w:eastAsia="Times New Roman"/>
          <w:lang w:eastAsia="hr-HR"/>
        </w:rPr>
        <w:t>1</w:t>
      </w:r>
      <w:r w:rsidR="00E41A82" w:rsidRPr="00466AB1">
        <w:rPr>
          <w:rFonts w:eastAsia="Times New Roman"/>
          <w:lang w:eastAsia="hr-HR"/>
        </w:rPr>
        <w:t>4</w:t>
      </w:r>
      <w:r w:rsidRPr="00466AB1">
        <w:rPr>
          <w:rFonts w:eastAsia="Times New Roman"/>
          <w:lang w:eastAsia="hr-HR"/>
        </w:rPr>
        <w:t>,</w:t>
      </w:r>
      <w:r w:rsidR="00365728" w:rsidRPr="00466AB1">
        <w:rPr>
          <w:rFonts w:eastAsia="Times New Roman"/>
          <w:lang w:eastAsia="hr-HR"/>
        </w:rPr>
        <w:t>4</w:t>
      </w:r>
      <w:r w:rsidR="00910054" w:rsidRPr="00466AB1">
        <w:rPr>
          <w:rFonts w:eastAsia="Times New Roman"/>
          <w:lang w:eastAsia="hr-HR"/>
        </w:rPr>
        <w:t>3</w:t>
      </w:r>
      <w:r w:rsidRPr="00466AB1">
        <w:rPr>
          <w:rFonts w:eastAsia="Times New Roman"/>
          <w:lang w:eastAsia="hr-HR"/>
        </w:rPr>
        <w:t xml:space="preserve">% te iz izvora 581 u iznosu od </w:t>
      </w:r>
      <w:r w:rsidR="007A28B7" w:rsidRPr="00466AB1">
        <w:rPr>
          <w:rFonts w:eastAsia="Times New Roman"/>
          <w:lang w:eastAsia="en-GB"/>
        </w:rPr>
        <w:t>6.370.695</w:t>
      </w:r>
      <w:r w:rsidRPr="00466AB1">
        <w:rPr>
          <w:rFonts w:eastAsia="Times New Roman"/>
          <w:lang w:eastAsia="en-GB"/>
        </w:rPr>
        <w:t xml:space="preserve"> EUR što čini </w:t>
      </w:r>
      <w:r w:rsidR="00365728" w:rsidRPr="00466AB1">
        <w:rPr>
          <w:rFonts w:eastAsia="Times New Roman"/>
          <w:lang w:eastAsia="hr-HR"/>
        </w:rPr>
        <w:t>4</w:t>
      </w:r>
      <w:r w:rsidRPr="00466AB1">
        <w:rPr>
          <w:rFonts w:eastAsia="Times New Roman"/>
          <w:lang w:eastAsia="hr-HR"/>
        </w:rPr>
        <w:t>,</w:t>
      </w:r>
      <w:r w:rsidR="00910054" w:rsidRPr="00466AB1">
        <w:rPr>
          <w:rFonts w:eastAsia="Times New Roman"/>
          <w:lang w:eastAsia="hr-HR"/>
        </w:rPr>
        <w:t>4</w:t>
      </w:r>
      <w:r w:rsidR="00A0520F" w:rsidRPr="00466AB1">
        <w:rPr>
          <w:rFonts w:eastAsia="Times New Roman"/>
          <w:lang w:eastAsia="hr-HR"/>
        </w:rPr>
        <w:t>5</w:t>
      </w:r>
      <w:r w:rsidRPr="00466AB1">
        <w:rPr>
          <w:rFonts w:eastAsia="Times New Roman"/>
          <w:lang w:eastAsia="hr-HR"/>
        </w:rPr>
        <w:t xml:space="preserve">% ukupnih rashoda. Za </w:t>
      </w:r>
      <w:r>
        <w:rPr>
          <w:rFonts w:eastAsia="Times New Roman"/>
          <w:color w:val="000000"/>
          <w:lang w:eastAsia="hr-HR"/>
        </w:rPr>
        <w:t>2024. i 2025. godinu ukupni rashodi planirani su na izvoru 11 u iznosima od 184.580.79</w:t>
      </w:r>
      <w:r w:rsidR="00E31727">
        <w:rPr>
          <w:rFonts w:eastAsia="Times New Roman"/>
          <w:color w:val="000000"/>
          <w:lang w:eastAsia="hr-HR"/>
        </w:rPr>
        <w:t>5</w:t>
      </w:r>
      <w:r>
        <w:rPr>
          <w:rFonts w:eastAsia="Times New Roman"/>
          <w:color w:val="000000"/>
          <w:lang w:eastAsia="hr-HR"/>
        </w:rPr>
        <w:t xml:space="preserve"> EUR i 211.497.9</w:t>
      </w:r>
      <w:r w:rsidR="00E31727">
        <w:rPr>
          <w:rFonts w:eastAsia="Times New Roman"/>
          <w:color w:val="000000"/>
          <w:lang w:eastAsia="hr-HR"/>
        </w:rPr>
        <w:t>1</w:t>
      </w:r>
      <w:r>
        <w:rPr>
          <w:rFonts w:eastAsia="Times New Roman"/>
          <w:color w:val="000000"/>
          <w:lang w:eastAsia="hr-HR"/>
        </w:rPr>
        <w:t xml:space="preserve">0 EUR odnosno 80,45% za 2024. i 81,08% za 2025. godinu, na izvoru 52 u iznosima od 36.878.930 EUR i 42.390.112 EUR odnosno 16,08% za 2024. i 16,25% za 2025. godinu te na izvoru 581 u iznosima od </w:t>
      </w:r>
      <w:r w:rsidRPr="00701199">
        <w:rPr>
          <w:rFonts w:eastAsia="Times New Roman"/>
          <w:color w:val="000000"/>
          <w:lang w:eastAsia="en-GB"/>
        </w:rPr>
        <w:t>7.963.36</w:t>
      </w:r>
      <w:r w:rsidR="009D212C" w:rsidRPr="00701199">
        <w:rPr>
          <w:rFonts w:eastAsia="Times New Roman"/>
          <w:color w:val="000000"/>
          <w:lang w:eastAsia="en-GB"/>
        </w:rPr>
        <w:t>9</w:t>
      </w:r>
      <w:r w:rsidRPr="00701199">
        <w:rPr>
          <w:rFonts w:eastAsia="Times New Roman"/>
          <w:color w:val="000000"/>
          <w:lang w:eastAsia="en-GB"/>
        </w:rPr>
        <w:t xml:space="preserve"> EUR i 6.967.947 EUR što čini </w:t>
      </w:r>
      <w:r>
        <w:rPr>
          <w:rFonts w:eastAsia="Times New Roman"/>
          <w:color w:val="000000"/>
          <w:lang w:eastAsia="hr-HR"/>
        </w:rPr>
        <w:t>3,47% ukupnih rashoda za 2024. i 2,67% za 2025. godinu.</w:t>
      </w:r>
      <w:r w:rsidRPr="00701199">
        <w:rPr>
          <w:rFonts w:eastAsia="Times New Roman"/>
          <w:color w:val="000000"/>
          <w:lang w:eastAsia="en-GB"/>
        </w:rPr>
        <w:t xml:space="preserve"> </w:t>
      </w:r>
      <w:r>
        <w:rPr>
          <w:rFonts w:eastAsia="Times New Roman"/>
          <w:lang w:eastAsia="hr-HR"/>
        </w:rPr>
        <w:t xml:space="preserve">Navedeno </w:t>
      </w:r>
      <w:r>
        <w:rPr>
          <w:rFonts w:eastAsia="Times New Roman"/>
          <w:color w:val="000000"/>
          <w:lang w:eastAsia="hr-HR"/>
        </w:rPr>
        <w:t xml:space="preserve">je prikazano u </w:t>
      </w:r>
      <w:r>
        <w:rPr>
          <w:rFonts w:eastAsia="Times New Roman"/>
          <w:lang w:eastAsia="hr-HR"/>
        </w:rPr>
        <w:t>općem dijelu računa prihoda i rashoda (Prilog 4.).</w:t>
      </w:r>
    </w:p>
    <w:p w14:paraId="41AB6B6D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68450358" w14:textId="4DFFE62D" w:rsidR="009E44AE" w:rsidRDefault="009E44AE" w:rsidP="009E44AE">
      <w:pPr>
        <w:jc w:val="both"/>
        <w:rPr>
          <w:rFonts w:eastAsia="Times New Roman"/>
          <w:lang w:eastAsia="hr-HR"/>
        </w:rPr>
      </w:pPr>
      <w:r>
        <w:rPr>
          <w:rFonts w:eastAsia="Times New Roman"/>
          <w:color w:val="000000"/>
          <w:lang w:eastAsia="hr-HR"/>
        </w:rPr>
        <w:t>Namjena svih navedenih rashoda prema funkcijskoj klasifikaciji (100% planiranih rashoda) odnosi se na razred 04 – Ekonomski poslovi, skupinu 044 – Rudarstvo, proizvodnja i građevinarstvo te podskupinu 0443 – Građevinarstvo što je u iznosima 1</w:t>
      </w:r>
      <w:r w:rsidR="008A2DA5">
        <w:rPr>
          <w:rFonts w:eastAsia="Times New Roman"/>
          <w:color w:val="000000"/>
          <w:lang w:eastAsia="hr-HR"/>
        </w:rPr>
        <w:t>4</w:t>
      </w:r>
      <w:r w:rsidR="000F2B3A">
        <w:rPr>
          <w:rFonts w:eastAsia="Times New Roman"/>
          <w:color w:val="000000"/>
          <w:lang w:eastAsia="hr-HR"/>
        </w:rPr>
        <w:t>3</w:t>
      </w:r>
      <w:r>
        <w:rPr>
          <w:rFonts w:eastAsia="Times New Roman"/>
          <w:color w:val="000000"/>
          <w:lang w:eastAsia="hr-HR"/>
        </w:rPr>
        <w:t>.</w:t>
      </w:r>
      <w:r w:rsidR="008A2DA5">
        <w:rPr>
          <w:rFonts w:eastAsia="Times New Roman"/>
          <w:color w:val="000000"/>
          <w:lang w:eastAsia="hr-HR"/>
        </w:rPr>
        <w:t>303</w:t>
      </w:r>
      <w:r>
        <w:rPr>
          <w:rFonts w:eastAsia="Times New Roman"/>
          <w:color w:val="000000"/>
          <w:lang w:eastAsia="hr-HR"/>
        </w:rPr>
        <w:t>.</w:t>
      </w:r>
      <w:r w:rsidR="008A2DA5">
        <w:rPr>
          <w:rFonts w:eastAsia="Times New Roman"/>
          <w:color w:val="000000"/>
          <w:lang w:eastAsia="hr-HR"/>
        </w:rPr>
        <w:t>200</w:t>
      </w:r>
      <w:r>
        <w:rPr>
          <w:rFonts w:eastAsia="Times New Roman"/>
          <w:color w:val="000000"/>
          <w:lang w:eastAsia="hr-HR"/>
        </w:rPr>
        <w:t xml:space="preserve"> EUR za 2023., 229.423.0</w:t>
      </w:r>
      <w:r w:rsidR="00973935">
        <w:rPr>
          <w:rFonts w:eastAsia="Times New Roman"/>
          <w:color w:val="000000"/>
          <w:lang w:eastAsia="hr-HR"/>
        </w:rPr>
        <w:t>94</w:t>
      </w:r>
      <w:r>
        <w:rPr>
          <w:rFonts w:eastAsia="Times New Roman"/>
          <w:color w:val="000000"/>
          <w:lang w:eastAsia="hr-HR"/>
        </w:rPr>
        <w:t xml:space="preserve"> EUR za 2024. i 260.855.96</w:t>
      </w:r>
      <w:r w:rsidR="00973935">
        <w:rPr>
          <w:rFonts w:eastAsia="Times New Roman"/>
          <w:color w:val="000000"/>
          <w:lang w:eastAsia="hr-HR"/>
        </w:rPr>
        <w:t>9</w:t>
      </w:r>
      <w:r>
        <w:rPr>
          <w:rFonts w:eastAsia="Times New Roman"/>
          <w:color w:val="000000"/>
          <w:lang w:eastAsia="hr-HR"/>
        </w:rPr>
        <w:t xml:space="preserve"> EUR za 2025. godinu, </w:t>
      </w:r>
      <w:r>
        <w:rPr>
          <w:rFonts w:eastAsia="Times New Roman"/>
          <w:lang w:eastAsia="hr-HR"/>
        </w:rPr>
        <w:t>kako je i prikazano u općem dijelu računa prihoda i rashoda (Prilog 5.).</w:t>
      </w:r>
    </w:p>
    <w:p w14:paraId="3A9E4380" w14:textId="77777777" w:rsidR="009E44AE" w:rsidRDefault="009E44AE" w:rsidP="009E44AE">
      <w:pPr>
        <w:jc w:val="both"/>
        <w:rPr>
          <w:rFonts w:eastAsia="Times New Roman"/>
          <w:lang w:eastAsia="hr-HR"/>
        </w:rPr>
      </w:pPr>
    </w:p>
    <w:p w14:paraId="64905AFE" w14:textId="42F9C504" w:rsidR="009E44AE" w:rsidRDefault="009E44AE" w:rsidP="009E44AE">
      <w:pPr>
        <w:jc w:val="both"/>
        <w:rPr>
          <w:rFonts w:eastAsia="Times New Roman"/>
          <w:lang w:eastAsia="hr-HR"/>
        </w:rPr>
      </w:pPr>
      <w:r w:rsidRPr="005C6F4B">
        <w:rPr>
          <w:rFonts w:eastAsia="Times New Roman"/>
          <w:lang w:eastAsia="hr-HR"/>
        </w:rPr>
        <w:t xml:space="preserve">Budući da su ukupni rashodi i izdaci planirani u visini planiranih prihoda i primitaka, Fond za obnovu u predmetnom razdoblju nema iskazanih primitaka od financijske imovine i zaduživanja, kao </w:t>
      </w:r>
      <w:r w:rsidR="0006203E">
        <w:rPr>
          <w:rFonts w:eastAsia="Times New Roman"/>
          <w:lang w:eastAsia="hr-HR"/>
        </w:rPr>
        <w:t>n</w:t>
      </w:r>
      <w:r w:rsidRPr="005C6F4B">
        <w:rPr>
          <w:rFonts w:eastAsia="Times New Roman"/>
          <w:lang w:eastAsia="hr-HR"/>
        </w:rPr>
        <w:t xml:space="preserve">i izdataka za financijsku imovinu i otplate zajmova. Navedeno je prikazano u </w:t>
      </w:r>
      <w:r w:rsidR="00B61E6B" w:rsidRPr="005C6F4B">
        <w:rPr>
          <w:rFonts w:eastAsia="Times New Roman"/>
          <w:lang w:eastAsia="hr-HR"/>
        </w:rPr>
        <w:t xml:space="preserve">općem dijelu u </w:t>
      </w:r>
      <w:r w:rsidRPr="005C6F4B">
        <w:rPr>
          <w:rFonts w:eastAsia="Times New Roman"/>
          <w:lang w:eastAsia="hr-HR"/>
        </w:rPr>
        <w:t>sažetku računa računa financiranja (Prilog 1.), kao i u općem dijelu računa financiranja (Prilog 6.).</w:t>
      </w:r>
      <w:r w:rsidR="00E944EE" w:rsidRPr="005C6F4B">
        <w:rPr>
          <w:rFonts w:eastAsia="Times New Roman"/>
          <w:lang w:eastAsia="hr-HR"/>
        </w:rPr>
        <w:t xml:space="preserve"> Također </w:t>
      </w:r>
      <w:r w:rsidR="00B61E6B" w:rsidRPr="005C6F4B">
        <w:rPr>
          <w:rFonts w:eastAsia="Times New Roman"/>
          <w:lang w:eastAsia="hr-HR"/>
        </w:rPr>
        <w:t>u općem dijelu u sažetku računa financiranja (Prilog 1.) prikazan</w:t>
      </w:r>
      <w:r w:rsidR="005C3D93" w:rsidRPr="005C6F4B">
        <w:rPr>
          <w:rFonts w:eastAsia="Times New Roman"/>
          <w:lang w:eastAsia="hr-HR"/>
        </w:rPr>
        <w:t>i</w:t>
      </w:r>
      <w:r w:rsidR="00B61E6B" w:rsidRPr="005C6F4B">
        <w:rPr>
          <w:rFonts w:eastAsia="Times New Roman"/>
          <w:lang w:eastAsia="hr-HR"/>
        </w:rPr>
        <w:t xml:space="preserve"> </w:t>
      </w:r>
      <w:r w:rsidR="005C3D93" w:rsidRPr="005C6F4B">
        <w:rPr>
          <w:rFonts w:eastAsia="Times New Roman"/>
          <w:lang w:eastAsia="hr-HR"/>
        </w:rPr>
        <w:t>su</w:t>
      </w:r>
      <w:r w:rsidR="00B61E6B" w:rsidRPr="005C6F4B">
        <w:rPr>
          <w:rFonts w:eastAsia="Times New Roman"/>
          <w:lang w:eastAsia="hr-HR"/>
        </w:rPr>
        <w:t xml:space="preserve"> prijenos</w:t>
      </w:r>
      <w:r w:rsidR="00554C09" w:rsidRPr="005C6F4B">
        <w:rPr>
          <w:rFonts w:eastAsia="Times New Roman"/>
          <w:lang w:eastAsia="hr-HR"/>
        </w:rPr>
        <w:t>i</w:t>
      </w:r>
      <w:r w:rsidR="00B61E6B" w:rsidRPr="005C6F4B">
        <w:rPr>
          <w:rFonts w:eastAsia="Times New Roman"/>
          <w:lang w:eastAsia="hr-HR"/>
        </w:rPr>
        <w:t xml:space="preserve"> sredst</w:t>
      </w:r>
      <w:r w:rsidR="00756002" w:rsidRPr="005C6F4B">
        <w:rPr>
          <w:rFonts w:eastAsia="Times New Roman"/>
          <w:lang w:eastAsia="hr-HR"/>
        </w:rPr>
        <w:t>ava iz prethodn</w:t>
      </w:r>
      <w:r w:rsidR="00554C09" w:rsidRPr="005C6F4B">
        <w:rPr>
          <w:rFonts w:eastAsia="Times New Roman"/>
          <w:lang w:eastAsia="hr-HR"/>
        </w:rPr>
        <w:t xml:space="preserve">ih godina kao i </w:t>
      </w:r>
      <w:r w:rsidR="007630A2" w:rsidRPr="005C6F4B">
        <w:rPr>
          <w:rFonts w:eastAsia="Times New Roman"/>
          <w:lang w:eastAsia="hr-HR"/>
        </w:rPr>
        <w:t>prijenosi sredstava u sljedeće godine.</w:t>
      </w:r>
      <w:r w:rsidR="000F02AD" w:rsidRPr="005C6F4B">
        <w:rPr>
          <w:rFonts w:eastAsia="Times New Roman"/>
          <w:lang w:eastAsia="hr-HR"/>
        </w:rPr>
        <w:t xml:space="preserve"> </w:t>
      </w:r>
      <w:r w:rsidR="00613A95" w:rsidRPr="005C6F4B">
        <w:rPr>
          <w:rFonts w:eastAsia="Times New Roman"/>
          <w:lang w:eastAsia="hr-HR"/>
        </w:rPr>
        <w:t>Navedeni prijenosi odnose se na izvor 52, a prikazani su sukladno dosadašnjoj dinamici</w:t>
      </w:r>
      <w:r w:rsidR="002D377F" w:rsidRPr="005C6F4B">
        <w:rPr>
          <w:rFonts w:eastAsia="Times New Roman"/>
          <w:lang w:eastAsia="hr-HR"/>
        </w:rPr>
        <w:t xml:space="preserve"> </w:t>
      </w:r>
      <w:r w:rsidR="006156AC" w:rsidRPr="00466AB1">
        <w:rPr>
          <w:rFonts w:eastAsia="Times New Roman"/>
          <w:lang w:eastAsia="hr-HR"/>
        </w:rPr>
        <w:t xml:space="preserve">naplate </w:t>
      </w:r>
      <w:r w:rsidR="001D541D" w:rsidRPr="00466AB1">
        <w:rPr>
          <w:rFonts w:eastAsia="Times New Roman"/>
          <w:lang w:eastAsia="hr-HR"/>
        </w:rPr>
        <w:t xml:space="preserve">prihoda </w:t>
      </w:r>
      <w:r w:rsidR="00B61887" w:rsidRPr="00466AB1">
        <w:rPr>
          <w:rFonts w:eastAsia="Times New Roman"/>
          <w:lang w:eastAsia="hr-HR"/>
        </w:rPr>
        <w:t>iz JLP(R)S</w:t>
      </w:r>
      <w:r w:rsidR="00DA30C5" w:rsidRPr="00466AB1">
        <w:rPr>
          <w:rFonts w:eastAsia="Times New Roman"/>
          <w:lang w:eastAsia="hr-HR"/>
        </w:rPr>
        <w:t xml:space="preserve">. </w:t>
      </w:r>
      <w:r w:rsidR="00E63CC5" w:rsidRPr="00466AB1">
        <w:rPr>
          <w:rFonts w:eastAsia="Times New Roman"/>
          <w:lang w:eastAsia="hr-HR"/>
        </w:rPr>
        <w:t>Za 2023. godinu</w:t>
      </w:r>
      <w:r w:rsidR="00AA67F9" w:rsidRPr="00466AB1">
        <w:rPr>
          <w:rFonts w:eastAsia="Times New Roman"/>
          <w:lang w:eastAsia="hr-HR"/>
        </w:rPr>
        <w:t xml:space="preserve"> prijenos sredstava iz p</w:t>
      </w:r>
      <w:r w:rsidR="00C37EF9" w:rsidRPr="00466AB1">
        <w:rPr>
          <w:rFonts w:eastAsia="Times New Roman"/>
          <w:lang w:eastAsia="hr-HR"/>
        </w:rPr>
        <w:t xml:space="preserve">rethodne godine iznosi </w:t>
      </w:r>
      <w:r w:rsidR="008B270F" w:rsidRPr="00466AB1">
        <w:rPr>
          <w:rFonts w:eastAsia="Times New Roman"/>
          <w:lang w:eastAsia="hr-HR"/>
        </w:rPr>
        <w:t>2.654.456 EUR</w:t>
      </w:r>
      <w:r w:rsidR="0095181B" w:rsidRPr="00466AB1">
        <w:rPr>
          <w:rFonts w:eastAsia="Times New Roman"/>
          <w:lang w:eastAsia="hr-HR"/>
        </w:rPr>
        <w:t xml:space="preserve">, dok </w:t>
      </w:r>
      <w:r w:rsidR="005A4148" w:rsidRPr="00466AB1">
        <w:rPr>
          <w:rFonts w:eastAsia="Times New Roman"/>
          <w:lang w:eastAsia="hr-HR"/>
        </w:rPr>
        <w:t xml:space="preserve">prijenos sredstava u sljedeću godinu iznosi </w:t>
      </w:r>
      <w:r w:rsidR="00862966" w:rsidRPr="00466AB1">
        <w:rPr>
          <w:rFonts w:eastAsia="Times New Roman"/>
          <w:lang w:eastAsia="hr-HR"/>
        </w:rPr>
        <w:t xml:space="preserve">2.476.999 EUR. </w:t>
      </w:r>
      <w:r w:rsidR="00245AF0" w:rsidRPr="00466AB1">
        <w:rPr>
          <w:rFonts w:eastAsia="Times New Roman"/>
          <w:lang w:eastAsia="hr-HR"/>
        </w:rPr>
        <w:t>Za 2024. i 2025. godinu prijenos</w:t>
      </w:r>
      <w:r w:rsidR="00252AD5" w:rsidRPr="00466AB1">
        <w:rPr>
          <w:rFonts w:eastAsia="Times New Roman"/>
          <w:lang w:eastAsia="hr-HR"/>
        </w:rPr>
        <w:t>i</w:t>
      </w:r>
      <w:r w:rsidR="00245AF0" w:rsidRPr="00466AB1">
        <w:rPr>
          <w:rFonts w:eastAsia="Times New Roman"/>
          <w:lang w:eastAsia="hr-HR"/>
        </w:rPr>
        <w:t xml:space="preserve"> sredstava iz prethodne godine iznos</w:t>
      </w:r>
      <w:r w:rsidR="00252AD5" w:rsidRPr="00466AB1">
        <w:rPr>
          <w:rFonts w:eastAsia="Times New Roman"/>
          <w:lang w:eastAsia="hr-HR"/>
        </w:rPr>
        <w:t>e</w:t>
      </w:r>
      <w:r w:rsidR="00245AF0" w:rsidRPr="00466AB1">
        <w:rPr>
          <w:rFonts w:eastAsia="Times New Roman"/>
          <w:lang w:eastAsia="hr-HR"/>
        </w:rPr>
        <w:t xml:space="preserve"> </w:t>
      </w:r>
      <w:r w:rsidR="00477319" w:rsidRPr="00466AB1">
        <w:rPr>
          <w:rFonts w:eastAsia="Times New Roman"/>
          <w:lang w:eastAsia="hr-HR"/>
        </w:rPr>
        <w:t>2.476.999 EUR odnosn</w:t>
      </w:r>
      <w:r w:rsidR="005F3F03" w:rsidRPr="00466AB1">
        <w:rPr>
          <w:rFonts w:eastAsia="Times New Roman"/>
          <w:lang w:eastAsia="hr-HR"/>
        </w:rPr>
        <w:t xml:space="preserve">o </w:t>
      </w:r>
      <w:r w:rsidR="00FB4590" w:rsidRPr="005C6F4B">
        <w:rPr>
          <w:rFonts w:eastAsia="Times New Roman"/>
          <w:lang w:eastAsia="hr-HR"/>
        </w:rPr>
        <w:t>1.098.069 EUR</w:t>
      </w:r>
      <w:r w:rsidR="00245AF0" w:rsidRPr="005C6F4B">
        <w:rPr>
          <w:rFonts w:eastAsia="Times New Roman"/>
          <w:lang w:eastAsia="hr-HR"/>
        </w:rPr>
        <w:t>, dok prijenos</w:t>
      </w:r>
      <w:r w:rsidR="00252AD5" w:rsidRPr="005C6F4B">
        <w:rPr>
          <w:rFonts w:eastAsia="Times New Roman"/>
          <w:lang w:eastAsia="hr-HR"/>
        </w:rPr>
        <w:t>i</w:t>
      </w:r>
      <w:r w:rsidR="00245AF0" w:rsidRPr="005C6F4B">
        <w:rPr>
          <w:rFonts w:eastAsia="Times New Roman"/>
          <w:lang w:eastAsia="hr-HR"/>
        </w:rPr>
        <w:t xml:space="preserve"> sredstava u sljedeću godinu iznos</w:t>
      </w:r>
      <w:r w:rsidR="00252AD5" w:rsidRPr="005C6F4B">
        <w:rPr>
          <w:rFonts w:eastAsia="Times New Roman"/>
          <w:lang w:eastAsia="hr-HR"/>
        </w:rPr>
        <w:t>e</w:t>
      </w:r>
      <w:r w:rsidR="00245AF0" w:rsidRPr="005C6F4B">
        <w:rPr>
          <w:rFonts w:eastAsia="Times New Roman"/>
          <w:lang w:eastAsia="hr-HR"/>
        </w:rPr>
        <w:t xml:space="preserve"> </w:t>
      </w:r>
      <w:r w:rsidR="00C500E7" w:rsidRPr="005C6F4B">
        <w:rPr>
          <w:rFonts w:eastAsia="Times New Roman"/>
          <w:lang w:eastAsia="hr-HR"/>
        </w:rPr>
        <w:t>1.098.069 EUR</w:t>
      </w:r>
      <w:r w:rsidR="00C84308" w:rsidRPr="005C6F4B">
        <w:rPr>
          <w:rFonts w:eastAsia="Times New Roman"/>
          <w:lang w:eastAsia="hr-HR"/>
        </w:rPr>
        <w:t xml:space="preserve"> odnosno </w:t>
      </w:r>
      <w:r w:rsidR="00BF04C6" w:rsidRPr="005C6F4B">
        <w:rPr>
          <w:rFonts w:eastAsia="Times New Roman"/>
          <w:lang w:eastAsia="hr-HR"/>
        </w:rPr>
        <w:t>1.707.957 EUR</w:t>
      </w:r>
      <w:r w:rsidR="00245AF0" w:rsidRPr="005C6F4B">
        <w:rPr>
          <w:rFonts w:eastAsia="Times New Roman"/>
          <w:lang w:eastAsia="hr-HR"/>
        </w:rPr>
        <w:t>.</w:t>
      </w:r>
    </w:p>
    <w:p w14:paraId="10FFA5C8" w14:textId="77777777" w:rsidR="009E44AE" w:rsidRPr="00C23DFD" w:rsidRDefault="009E44AE" w:rsidP="009E44AE">
      <w:pPr>
        <w:jc w:val="both"/>
        <w:rPr>
          <w:rFonts w:eastAsia="Times New Roman"/>
          <w:lang w:eastAsia="hr-HR"/>
        </w:rPr>
      </w:pPr>
    </w:p>
    <w:p w14:paraId="3A87A586" w14:textId="77777777" w:rsidR="009E44AE" w:rsidRPr="00C23DFD" w:rsidRDefault="009E44AE" w:rsidP="009E44AE">
      <w:pPr>
        <w:pStyle w:val="ListParagraph"/>
        <w:numPr>
          <w:ilvl w:val="0"/>
          <w:numId w:val="18"/>
        </w:numPr>
        <w:jc w:val="both"/>
        <w:rPr>
          <w:rFonts w:eastAsia="Times New Roman"/>
          <w:b/>
          <w:bCs/>
          <w:color w:val="000000"/>
          <w:lang w:eastAsia="hr-HR"/>
        </w:rPr>
      </w:pPr>
      <w:r w:rsidRPr="00C23DFD">
        <w:rPr>
          <w:b/>
          <w:bCs/>
        </w:rPr>
        <w:t>Ukupne i dospjele obveze</w:t>
      </w:r>
    </w:p>
    <w:p w14:paraId="00E5E48B" w14:textId="77777777" w:rsidR="009E44AE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0E7D5A54" w14:textId="48EAC9EF" w:rsidR="009E44AE" w:rsidRPr="007B45A5" w:rsidRDefault="009E44AE" w:rsidP="009E44AE">
      <w:pPr>
        <w:jc w:val="both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Ukupne obveze Fonda za obnovu na dan 31. prosinca 2021. godine iznosile su 8.451.772,02 EUR, od kojih su dospjele obveze iznosile 8.169.906,42 EUR, a nedospjele 281.865,60 EUR. Na dan 30. lipnja. 2022. godine ukupne obveze su iznosile 7.776.937,86 EUR, od kojih su dospjele obveze iznosile 7.416.851,99 EUR, a nedospjele 360.085,87 EUR.</w:t>
      </w:r>
    </w:p>
    <w:p w14:paraId="79FEF3F9" w14:textId="77777777" w:rsidR="009E44AE" w:rsidRPr="0061560F" w:rsidRDefault="009E44AE" w:rsidP="009E44AE">
      <w:pPr>
        <w:jc w:val="both"/>
        <w:rPr>
          <w:rFonts w:eastAsia="Times New Roman"/>
          <w:color w:val="000000"/>
          <w:lang w:eastAsia="hr-HR"/>
        </w:rPr>
      </w:pPr>
    </w:p>
    <w:p w14:paraId="44E28A49" w14:textId="77777777" w:rsidR="009E44AE" w:rsidRDefault="009E44AE" w:rsidP="009E44AE">
      <w:pPr>
        <w:jc w:val="both"/>
        <w:rPr>
          <w:b/>
          <w:bCs/>
        </w:rPr>
      </w:pPr>
    </w:p>
    <w:p w14:paraId="431DD868" w14:textId="77777777" w:rsidR="0052063B" w:rsidRDefault="0052063B" w:rsidP="009E44AE">
      <w:pPr>
        <w:jc w:val="both"/>
        <w:rPr>
          <w:b/>
          <w:bCs/>
        </w:rPr>
      </w:pPr>
    </w:p>
    <w:p w14:paraId="76748B08" w14:textId="77777777" w:rsidR="0052063B" w:rsidRDefault="0052063B" w:rsidP="009E44AE">
      <w:pPr>
        <w:jc w:val="both"/>
        <w:rPr>
          <w:b/>
          <w:bCs/>
        </w:rPr>
      </w:pPr>
    </w:p>
    <w:p w14:paraId="4859970B" w14:textId="77777777" w:rsidR="0052063B" w:rsidRDefault="0052063B" w:rsidP="009E44AE">
      <w:pPr>
        <w:jc w:val="both"/>
        <w:rPr>
          <w:b/>
          <w:bCs/>
        </w:rPr>
      </w:pPr>
    </w:p>
    <w:p w14:paraId="34063F6E" w14:textId="77777777" w:rsidR="0052063B" w:rsidRDefault="0052063B" w:rsidP="009E44AE">
      <w:pPr>
        <w:jc w:val="both"/>
        <w:rPr>
          <w:b/>
          <w:bCs/>
        </w:rPr>
      </w:pPr>
    </w:p>
    <w:p w14:paraId="44497440" w14:textId="77777777" w:rsidR="0052063B" w:rsidRDefault="0052063B" w:rsidP="009E44AE">
      <w:pPr>
        <w:jc w:val="both"/>
        <w:rPr>
          <w:b/>
          <w:bCs/>
        </w:rPr>
      </w:pPr>
    </w:p>
    <w:p w14:paraId="2B7B62F6" w14:textId="77777777" w:rsidR="0052063B" w:rsidRDefault="0052063B" w:rsidP="009E44AE">
      <w:pPr>
        <w:jc w:val="both"/>
        <w:rPr>
          <w:b/>
          <w:bCs/>
        </w:rPr>
      </w:pPr>
    </w:p>
    <w:p w14:paraId="3255204B" w14:textId="77777777" w:rsidR="0052063B" w:rsidRDefault="0052063B" w:rsidP="009E44AE">
      <w:pPr>
        <w:jc w:val="both"/>
        <w:rPr>
          <w:b/>
          <w:bCs/>
        </w:rPr>
      </w:pPr>
    </w:p>
    <w:p w14:paraId="44A20DCD" w14:textId="77777777" w:rsidR="0052063B" w:rsidRDefault="0052063B" w:rsidP="009E44AE">
      <w:pPr>
        <w:jc w:val="both"/>
        <w:rPr>
          <w:b/>
          <w:bCs/>
        </w:rPr>
      </w:pPr>
    </w:p>
    <w:p w14:paraId="2B3A5010" w14:textId="77777777" w:rsidR="0052063B" w:rsidRDefault="0052063B" w:rsidP="009E44AE">
      <w:pPr>
        <w:jc w:val="both"/>
        <w:rPr>
          <w:b/>
          <w:bCs/>
        </w:rPr>
      </w:pPr>
    </w:p>
    <w:p w14:paraId="606F9083" w14:textId="77777777" w:rsidR="0052063B" w:rsidRDefault="0052063B" w:rsidP="009E44AE">
      <w:pPr>
        <w:jc w:val="both"/>
        <w:rPr>
          <w:b/>
          <w:bCs/>
        </w:rPr>
      </w:pPr>
    </w:p>
    <w:p w14:paraId="4EBD797E" w14:textId="77777777" w:rsidR="0052063B" w:rsidRDefault="0052063B" w:rsidP="009E44AE">
      <w:pPr>
        <w:jc w:val="both"/>
        <w:rPr>
          <w:b/>
          <w:bCs/>
        </w:rPr>
      </w:pPr>
    </w:p>
    <w:p w14:paraId="181B6068" w14:textId="0245CEA0" w:rsidR="00BD2828" w:rsidRDefault="00BD2828" w:rsidP="00BD2828">
      <w:pPr>
        <w:jc w:val="center"/>
        <w:rPr>
          <w:b/>
          <w:bCs/>
          <w:sz w:val="28"/>
          <w:szCs w:val="28"/>
        </w:rPr>
      </w:pPr>
      <w:r w:rsidRPr="00C66247">
        <w:rPr>
          <w:b/>
          <w:bCs/>
          <w:sz w:val="28"/>
          <w:szCs w:val="28"/>
        </w:rPr>
        <w:lastRenderedPageBreak/>
        <w:t xml:space="preserve">OBRAZLOŽENJE </w:t>
      </w:r>
      <w:r>
        <w:rPr>
          <w:b/>
          <w:bCs/>
          <w:sz w:val="28"/>
          <w:szCs w:val="28"/>
        </w:rPr>
        <w:t>POSEBNOG</w:t>
      </w:r>
      <w:r w:rsidRPr="00C66247">
        <w:rPr>
          <w:b/>
          <w:bCs/>
          <w:sz w:val="28"/>
          <w:szCs w:val="28"/>
        </w:rPr>
        <w:t xml:space="preserve"> DIJELA</w:t>
      </w:r>
      <w:r>
        <w:rPr>
          <w:b/>
          <w:bCs/>
          <w:sz w:val="28"/>
          <w:szCs w:val="28"/>
        </w:rPr>
        <w:t xml:space="preserve"> FINANCIJSKOG PLANA</w:t>
      </w:r>
    </w:p>
    <w:p w14:paraId="6736C7FD" w14:textId="77777777" w:rsidR="0052063B" w:rsidRDefault="0052063B" w:rsidP="009E44AE">
      <w:pPr>
        <w:jc w:val="both"/>
        <w:rPr>
          <w:rFonts w:eastAsia="Calibri"/>
        </w:rPr>
      </w:pPr>
    </w:p>
    <w:p w14:paraId="63562805" w14:textId="164BE0AF" w:rsidR="0052063B" w:rsidRPr="00B71E88" w:rsidRDefault="00297A5C" w:rsidP="00A55305">
      <w:pPr>
        <w:widowControl w:val="0"/>
        <w:autoSpaceDE w:val="0"/>
        <w:autoSpaceDN w:val="0"/>
        <w:ind w:right="238"/>
        <w:rPr>
          <w:b/>
          <w:bCs/>
        </w:rPr>
      </w:pPr>
      <w:r w:rsidRPr="00B71E88">
        <w:rPr>
          <w:b/>
          <w:bCs/>
        </w:rPr>
        <w:t>U</w:t>
      </w:r>
      <w:r w:rsidR="0052063B" w:rsidRPr="00B71E88">
        <w:rPr>
          <w:b/>
          <w:bCs/>
        </w:rPr>
        <w:t>vod</w:t>
      </w:r>
    </w:p>
    <w:p w14:paraId="28F43598" w14:textId="77777777" w:rsidR="00A55305" w:rsidRPr="0052063B" w:rsidRDefault="00A55305" w:rsidP="00A55305">
      <w:pPr>
        <w:widowControl w:val="0"/>
        <w:autoSpaceDE w:val="0"/>
        <w:autoSpaceDN w:val="0"/>
        <w:ind w:right="238"/>
        <w:rPr>
          <w:rFonts w:eastAsia="Times New Roman"/>
          <w:b/>
          <w:spacing w:val="16"/>
        </w:rPr>
      </w:pPr>
    </w:p>
    <w:p w14:paraId="664A7814" w14:textId="40FF5644" w:rsidR="0052063B" w:rsidRDefault="0052063B" w:rsidP="00A55305">
      <w:pPr>
        <w:widowControl w:val="0"/>
        <w:autoSpaceDE w:val="0"/>
        <w:autoSpaceDN w:val="0"/>
        <w:jc w:val="both"/>
        <w:rPr>
          <w:rFonts w:eastAsia="Times New Roman"/>
        </w:rPr>
      </w:pPr>
      <w:r w:rsidRPr="00E34424">
        <w:rPr>
          <w:rFonts w:eastAsia="Times New Roman"/>
        </w:rPr>
        <w:t>Fond za obnovu Grada Zagreba, Krapinsko-zagorske županije i Zagrebačke županije (u daljnjem tekstu: Fond za obnovu)</w:t>
      </w:r>
      <w:r>
        <w:rPr>
          <w:rFonts w:eastAsia="Calibri"/>
        </w:rPr>
        <w:t xml:space="preserve"> </w:t>
      </w:r>
      <w:r w:rsidRPr="00516A55">
        <w:rPr>
          <w:rFonts w:eastAsia="Calibri"/>
        </w:rPr>
        <w:t xml:space="preserve">osnovan </w:t>
      </w:r>
      <w:r>
        <w:rPr>
          <w:rFonts w:eastAsia="Calibri"/>
        </w:rPr>
        <w:t xml:space="preserve">je </w:t>
      </w:r>
      <w:r w:rsidRPr="00516A55">
        <w:rPr>
          <w:rFonts w:eastAsia="Calibri"/>
        </w:rPr>
        <w:t xml:space="preserve">Ugovorom o osnivanju od 29. listopada 2020. godine, a operativno je započeo s radom </w:t>
      </w:r>
      <w:r>
        <w:rPr>
          <w:rFonts w:eastAsia="Calibri"/>
        </w:rPr>
        <w:t>0</w:t>
      </w:r>
      <w:r w:rsidRPr="00516A55">
        <w:rPr>
          <w:rFonts w:eastAsia="Calibri"/>
        </w:rPr>
        <w:t>1. siječnja 2021. godine</w:t>
      </w:r>
      <w:r>
        <w:rPr>
          <w:rFonts w:eastAsia="Calibri"/>
        </w:rPr>
        <w:t xml:space="preserve">. </w:t>
      </w:r>
      <w:r>
        <w:rPr>
          <w:rFonts w:eastAsia="Times New Roman"/>
        </w:rPr>
        <w:t xml:space="preserve">Fond za obnovu, </w:t>
      </w:r>
      <w:r w:rsidRPr="00E34424">
        <w:rPr>
          <w:rFonts w:eastAsia="Times New Roman"/>
        </w:rPr>
        <w:t>sukladno članku 7. Statuta Fonda za obnovu Grada Zagreba, Krapinsko-zagorske županije i Zagrebačke županije</w:t>
      </w:r>
      <w:r>
        <w:rPr>
          <w:rFonts w:eastAsia="Times New Roman"/>
        </w:rPr>
        <w:t>,</w:t>
      </w:r>
      <w:r w:rsidRPr="00E34424">
        <w:rPr>
          <w:rFonts w:eastAsia="Times New Roman"/>
        </w:rPr>
        <w:t xml:space="preserve"> obavlja stručne i druge poslove pripreme, organiziranja i provedbe obnove zgrada oštećenih potresom te praćenje provedbe programa mjera obnove, a u skladu sa važećim propisima.</w:t>
      </w:r>
    </w:p>
    <w:p w14:paraId="39B1E594" w14:textId="77777777" w:rsidR="00A55305" w:rsidRPr="00E34424" w:rsidRDefault="00A55305" w:rsidP="00A55305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51ED96DE" w14:textId="77777777" w:rsidR="0052063B" w:rsidRDefault="0052063B" w:rsidP="0052063B">
      <w:pPr>
        <w:pStyle w:val="BodyText"/>
        <w:spacing w:before="7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Pored toga, Fond za obnovu može obavljati i druge djelatnosti koje služe za obavljanje prethodno navedenih djelatnosti, ako se one u manjem opsegu ili uobičajeno obavljaju uz istu djelatnost.</w:t>
      </w:r>
    </w:p>
    <w:p w14:paraId="228D6AA4" w14:textId="77777777" w:rsidR="00A55305" w:rsidRPr="00E34424" w:rsidRDefault="00A55305" w:rsidP="00B71E88">
      <w:pPr>
        <w:pStyle w:val="BodyText"/>
        <w:jc w:val="both"/>
        <w:rPr>
          <w:sz w:val="24"/>
          <w:szCs w:val="24"/>
        </w:rPr>
      </w:pPr>
    </w:p>
    <w:p w14:paraId="7A88C2F7" w14:textId="755BA430" w:rsidR="0052063B" w:rsidRPr="00B71E88" w:rsidRDefault="00B410C4" w:rsidP="00B71E88">
      <w:pPr>
        <w:widowControl w:val="0"/>
        <w:autoSpaceDE w:val="0"/>
        <w:autoSpaceDN w:val="0"/>
        <w:ind w:right="238"/>
        <w:rPr>
          <w:b/>
          <w:bCs/>
        </w:rPr>
      </w:pPr>
      <w:r w:rsidRPr="00B71E88">
        <w:rPr>
          <w:b/>
          <w:bCs/>
        </w:rPr>
        <w:t>Obrazloženje</w:t>
      </w:r>
      <w:r w:rsidR="0052063B" w:rsidRPr="00B71E88">
        <w:rPr>
          <w:b/>
          <w:bCs/>
        </w:rPr>
        <w:t xml:space="preserve"> programa</w:t>
      </w:r>
      <w:r w:rsidR="00CC71EC" w:rsidRPr="00B71E88">
        <w:rPr>
          <w:b/>
          <w:bCs/>
        </w:rPr>
        <w:t xml:space="preserve"> - </w:t>
      </w:r>
      <w:r w:rsidR="0052063B" w:rsidRPr="00B71E88">
        <w:rPr>
          <w:b/>
          <w:bCs/>
        </w:rPr>
        <w:t>3502 Regulativa i nadzor u graditeljstvu</w:t>
      </w:r>
    </w:p>
    <w:p w14:paraId="20455A8D" w14:textId="77777777" w:rsidR="00A55305" w:rsidRPr="00CC71EC" w:rsidRDefault="00A55305" w:rsidP="00A55305">
      <w:pPr>
        <w:pStyle w:val="BodyText"/>
        <w:rPr>
          <w:b/>
          <w:sz w:val="18"/>
        </w:rPr>
      </w:pPr>
    </w:p>
    <w:p w14:paraId="513784B7" w14:textId="634813D9" w:rsidR="0052063B" w:rsidRDefault="00E95C60" w:rsidP="00A55305">
      <w:pPr>
        <w:pStyle w:val="BodyText"/>
        <w:ind w:left="74"/>
        <w:rPr>
          <w:sz w:val="24"/>
          <w:szCs w:val="24"/>
        </w:rPr>
      </w:pPr>
      <w:r>
        <w:rPr>
          <w:sz w:val="24"/>
          <w:szCs w:val="24"/>
        </w:rPr>
        <w:t xml:space="preserve">Cilj 1. - </w:t>
      </w:r>
      <w:r w:rsidR="0052063B" w:rsidRPr="00700FC6">
        <w:rPr>
          <w:sz w:val="24"/>
          <w:szCs w:val="24"/>
        </w:rPr>
        <w:t>Obnova obiteljskih kuća te višestambenih, stambeno-poslovnih i poslovnih zgrada oštećenih potresom na području Grada Zagreba</w:t>
      </w:r>
      <w:r w:rsidR="0052063B">
        <w:rPr>
          <w:sz w:val="24"/>
          <w:szCs w:val="24"/>
        </w:rPr>
        <w:t xml:space="preserve"> i </w:t>
      </w:r>
      <w:r w:rsidR="0052063B" w:rsidRPr="00700FC6">
        <w:rPr>
          <w:sz w:val="24"/>
          <w:szCs w:val="24"/>
        </w:rPr>
        <w:t>Krapinsko-zagorske županije</w:t>
      </w:r>
      <w:r w:rsidR="0052063B">
        <w:rPr>
          <w:sz w:val="24"/>
          <w:szCs w:val="24"/>
        </w:rPr>
        <w:t>.</w:t>
      </w:r>
    </w:p>
    <w:p w14:paraId="02248F39" w14:textId="77777777" w:rsidR="00B71E88" w:rsidRDefault="00B71E88" w:rsidP="00A55305">
      <w:pPr>
        <w:pStyle w:val="BodyText"/>
        <w:ind w:left="74"/>
        <w:rPr>
          <w:sz w:val="24"/>
          <w:szCs w:val="24"/>
        </w:rPr>
      </w:pPr>
    </w:p>
    <w:p w14:paraId="59EB37EC" w14:textId="77777777" w:rsidR="0052063B" w:rsidRPr="00B71E88" w:rsidRDefault="0052063B" w:rsidP="00F34949">
      <w:pPr>
        <w:pStyle w:val="BodyText"/>
        <w:rPr>
          <w:sz w:val="24"/>
          <w:szCs w:val="24"/>
        </w:rPr>
      </w:pPr>
      <w:r w:rsidRPr="003E20B3">
        <w:rPr>
          <w:sz w:val="24"/>
          <w:szCs w:val="24"/>
          <w:u w:val="single"/>
        </w:rPr>
        <w:t>Pokazatelj učinka</w:t>
      </w:r>
      <w:r w:rsidRPr="00B71E88">
        <w:rPr>
          <w:sz w:val="24"/>
          <w:szCs w:val="24"/>
        </w:rPr>
        <w:t>:</w:t>
      </w:r>
    </w:p>
    <w:p w14:paraId="2FCD319A" w14:textId="77777777" w:rsidR="0052063B" w:rsidRDefault="0052063B" w:rsidP="00B71E88">
      <w:pPr>
        <w:pStyle w:val="BodyText"/>
        <w:ind w:left="74"/>
        <w:rPr>
          <w:sz w:val="24"/>
          <w:szCs w:val="24"/>
        </w:rPr>
      </w:pPr>
      <w:r>
        <w:rPr>
          <w:sz w:val="24"/>
          <w:szCs w:val="24"/>
        </w:rPr>
        <w:t>P</w:t>
      </w:r>
      <w:r w:rsidRPr="006E2A5B">
        <w:rPr>
          <w:sz w:val="24"/>
          <w:szCs w:val="24"/>
        </w:rPr>
        <w:t>ostotak obnovljenih obiteljskih kuća te višestambenih</w:t>
      </w:r>
      <w:r>
        <w:rPr>
          <w:sz w:val="24"/>
          <w:szCs w:val="24"/>
        </w:rPr>
        <w:t xml:space="preserve">, </w:t>
      </w:r>
      <w:r w:rsidRPr="006E2A5B">
        <w:rPr>
          <w:sz w:val="24"/>
          <w:szCs w:val="24"/>
        </w:rPr>
        <w:t xml:space="preserve">stambeno-poslovnih </w:t>
      </w:r>
      <w:r>
        <w:rPr>
          <w:sz w:val="24"/>
          <w:szCs w:val="24"/>
        </w:rPr>
        <w:t xml:space="preserve">i poslovnih </w:t>
      </w:r>
      <w:r w:rsidRPr="006E2A5B">
        <w:rPr>
          <w:sz w:val="24"/>
          <w:szCs w:val="24"/>
        </w:rPr>
        <w:t>zgrada oštećenih potresom</w:t>
      </w:r>
      <w:r>
        <w:rPr>
          <w:sz w:val="24"/>
          <w:szCs w:val="24"/>
        </w:rPr>
        <w:t>.</w:t>
      </w:r>
    </w:p>
    <w:p w14:paraId="74DC7A0A" w14:textId="77777777" w:rsidR="00B71E88" w:rsidRPr="006E2A5B" w:rsidRDefault="00B71E88" w:rsidP="00B71E88">
      <w:pPr>
        <w:pStyle w:val="BodyText"/>
        <w:ind w:left="74"/>
        <w:rPr>
          <w:sz w:val="24"/>
          <w:szCs w:val="24"/>
        </w:rPr>
      </w:pPr>
    </w:p>
    <w:p w14:paraId="6DF4A4C1" w14:textId="77777777" w:rsidR="0052063B" w:rsidRPr="00B71E88" w:rsidRDefault="0052063B" w:rsidP="00F34949">
      <w:pPr>
        <w:pStyle w:val="BodyText"/>
        <w:rPr>
          <w:sz w:val="24"/>
          <w:szCs w:val="24"/>
        </w:rPr>
      </w:pPr>
      <w:r w:rsidRPr="003E20B3">
        <w:rPr>
          <w:sz w:val="24"/>
          <w:szCs w:val="24"/>
          <w:u w:val="single"/>
        </w:rPr>
        <w:t>Definicija pokazatelja učinka</w:t>
      </w:r>
      <w:r w:rsidRPr="00B71E88">
        <w:rPr>
          <w:sz w:val="24"/>
          <w:szCs w:val="24"/>
        </w:rPr>
        <w:t>:</w:t>
      </w:r>
    </w:p>
    <w:p w14:paraId="242DE86B" w14:textId="2F3AD33C" w:rsidR="00B71E88" w:rsidRPr="00A839EE" w:rsidRDefault="0052063B" w:rsidP="003E20B3">
      <w:pPr>
        <w:pStyle w:val="BodyText"/>
        <w:ind w:left="74"/>
        <w:jc w:val="both"/>
        <w:rPr>
          <w:sz w:val="24"/>
          <w:szCs w:val="24"/>
        </w:rPr>
      </w:pPr>
      <w:r w:rsidRPr="00B36BE8">
        <w:rPr>
          <w:sz w:val="24"/>
          <w:szCs w:val="24"/>
        </w:rPr>
        <w:t>Povećanje postotka obnovljenih obiteljskih kuća te višestambenih</w:t>
      </w:r>
      <w:r>
        <w:rPr>
          <w:sz w:val="24"/>
          <w:szCs w:val="24"/>
        </w:rPr>
        <w:t xml:space="preserve">, </w:t>
      </w:r>
      <w:r w:rsidRPr="00B36BE8">
        <w:rPr>
          <w:sz w:val="24"/>
          <w:szCs w:val="24"/>
        </w:rPr>
        <w:t>stambeno-poslovnih</w:t>
      </w:r>
      <w:r>
        <w:rPr>
          <w:sz w:val="24"/>
          <w:szCs w:val="24"/>
        </w:rPr>
        <w:t xml:space="preserve"> i poslovnih </w:t>
      </w:r>
      <w:r w:rsidRPr="00B36BE8">
        <w:rPr>
          <w:sz w:val="24"/>
          <w:szCs w:val="24"/>
        </w:rPr>
        <w:t>zgrada oštećenih potresom doprinijeti će većem broju zbrinutih osoba pogođenih potresom.</w:t>
      </w:r>
    </w:p>
    <w:p w14:paraId="7CFAFDD5" w14:textId="77777777" w:rsidR="0052063B" w:rsidRPr="00B71E88" w:rsidRDefault="0052063B" w:rsidP="0052063B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B71E88">
        <w:rPr>
          <w:sz w:val="24"/>
          <w:szCs w:val="24"/>
        </w:rPr>
        <w:t>Jedinica: %</w:t>
      </w:r>
    </w:p>
    <w:p w14:paraId="43E8CDEA" w14:textId="77777777" w:rsidR="0052063B" w:rsidRPr="00B71E88" w:rsidRDefault="0052063B" w:rsidP="0052063B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B71E88">
        <w:rPr>
          <w:sz w:val="24"/>
          <w:szCs w:val="24"/>
        </w:rPr>
        <w:t>Polazna vrijednost:</w:t>
      </w:r>
      <w:r w:rsidRPr="00CC71EC">
        <w:rPr>
          <w:sz w:val="24"/>
          <w:szCs w:val="24"/>
        </w:rPr>
        <w:t xml:space="preserve"> 1</w:t>
      </w:r>
      <w:r w:rsidRPr="00B71E88">
        <w:rPr>
          <w:sz w:val="24"/>
          <w:szCs w:val="24"/>
        </w:rPr>
        <w:t>%</w:t>
      </w:r>
    </w:p>
    <w:p w14:paraId="55305576" w14:textId="77777777" w:rsidR="0052063B" w:rsidRPr="00B71E88" w:rsidRDefault="0052063B" w:rsidP="0052063B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B71E88">
        <w:rPr>
          <w:sz w:val="24"/>
          <w:szCs w:val="24"/>
        </w:rPr>
        <w:t>Izvor podataka: Fond za obnovu</w:t>
      </w:r>
    </w:p>
    <w:p w14:paraId="3A4B6656" w14:textId="77777777" w:rsidR="0052063B" w:rsidRPr="00B71E88" w:rsidRDefault="0052063B" w:rsidP="0052063B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B71E88">
        <w:rPr>
          <w:sz w:val="24"/>
          <w:szCs w:val="24"/>
        </w:rPr>
        <w:t>Ciljana vrijednost (2023.): 8%</w:t>
      </w:r>
    </w:p>
    <w:p w14:paraId="79A1BC3E" w14:textId="77777777" w:rsidR="0052063B" w:rsidRPr="00B71E88" w:rsidRDefault="0052063B" w:rsidP="0052063B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B71E88">
        <w:rPr>
          <w:sz w:val="24"/>
          <w:szCs w:val="24"/>
        </w:rPr>
        <w:t>Ciljana vrijednost (2024.): 23%</w:t>
      </w:r>
    </w:p>
    <w:p w14:paraId="4CBF8FE8" w14:textId="77777777" w:rsidR="0052063B" w:rsidRPr="00B71E88" w:rsidRDefault="0052063B" w:rsidP="0052063B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B71E88">
        <w:rPr>
          <w:sz w:val="24"/>
          <w:szCs w:val="24"/>
        </w:rPr>
        <w:t>Ciljana vrijednost (2025.): 40%</w:t>
      </w:r>
    </w:p>
    <w:p w14:paraId="6C009B02" w14:textId="77777777" w:rsidR="0052063B" w:rsidRPr="00361A81" w:rsidRDefault="0052063B" w:rsidP="00B71E88">
      <w:pPr>
        <w:pStyle w:val="BodyText"/>
        <w:rPr>
          <w:bCs/>
          <w:spacing w:val="16"/>
          <w:sz w:val="24"/>
          <w:szCs w:val="24"/>
          <w:highlight w:val="yellow"/>
          <w:u w:val="single"/>
        </w:rPr>
      </w:pPr>
    </w:p>
    <w:p w14:paraId="6E4792DC" w14:textId="5056733B" w:rsidR="0052063B" w:rsidRDefault="00B71E88" w:rsidP="00B71E88">
      <w:pPr>
        <w:widowControl w:val="0"/>
        <w:autoSpaceDE w:val="0"/>
        <w:autoSpaceDN w:val="0"/>
        <w:ind w:right="238"/>
        <w:rPr>
          <w:b/>
          <w:bCs/>
        </w:rPr>
      </w:pPr>
      <w:r w:rsidRPr="00B71E88">
        <w:rPr>
          <w:b/>
          <w:bCs/>
        </w:rPr>
        <w:t xml:space="preserve">Obrazloženje </w:t>
      </w:r>
      <w:r>
        <w:rPr>
          <w:b/>
          <w:bCs/>
        </w:rPr>
        <w:t xml:space="preserve">aktivnosti - </w:t>
      </w:r>
      <w:r w:rsidR="0052063B" w:rsidRPr="00B71E88">
        <w:rPr>
          <w:b/>
          <w:bCs/>
        </w:rPr>
        <w:t>A538087 Sanacija šteta uzrokovanih potresom na području Grada Zagreba i okolice</w:t>
      </w:r>
    </w:p>
    <w:p w14:paraId="6A99512F" w14:textId="77777777" w:rsidR="004F3653" w:rsidRPr="00B71E88" w:rsidRDefault="004F3653" w:rsidP="004F3653">
      <w:pPr>
        <w:widowControl w:val="0"/>
        <w:autoSpaceDE w:val="0"/>
        <w:autoSpaceDN w:val="0"/>
        <w:ind w:right="238"/>
        <w:rPr>
          <w:b/>
          <w:bCs/>
        </w:rPr>
      </w:pPr>
    </w:p>
    <w:p w14:paraId="7C700946" w14:textId="5AEA5A62" w:rsidR="00596D4F" w:rsidRPr="0056678E" w:rsidRDefault="0052063B" w:rsidP="00600C7D">
      <w:pPr>
        <w:pStyle w:val="BodyText"/>
        <w:spacing w:after="120"/>
        <w:rPr>
          <w:sz w:val="24"/>
          <w:szCs w:val="24"/>
        </w:rPr>
      </w:pPr>
      <w:r w:rsidRPr="0044708F">
        <w:rPr>
          <w:sz w:val="24"/>
          <w:szCs w:val="24"/>
          <w:u w:val="single"/>
        </w:rPr>
        <w:t>Zakonske i druge pravne osnove</w:t>
      </w:r>
      <w:r w:rsidRPr="0056678E">
        <w:rPr>
          <w:sz w:val="24"/>
          <w:szCs w:val="24"/>
        </w:rPr>
        <w:t>:</w:t>
      </w:r>
    </w:p>
    <w:p w14:paraId="277C63CA" w14:textId="77777777" w:rsidR="0052063B" w:rsidRPr="00E34424" w:rsidRDefault="0052063B" w:rsidP="00B71E88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Ugovor između Republike Hrvatske, Grada Zagreba, Krapinsko-zagorske županije i Zagrebačke županije o osnivanju Fonda za obnovu Grada Zagreba, Krapinsko-zagorske županije i Zagrebačke županije od 29. listopada 2020. godine</w:t>
      </w:r>
    </w:p>
    <w:p w14:paraId="6A0D025D" w14:textId="77777777" w:rsidR="0052063B" w:rsidRPr="00E34424" w:rsidRDefault="0052063B" w:rsidP="004F3653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Statut Fonda za obnovu Grada Zagreba, Krapinsko-zagorske županije i Zagrebačke županije</w:t>
      </w:r>
    </w:p>
    <w:p w14:paraId="10209CA7" w14:textId="77777777" w:rsidR="0052063B" w:rsidRPr="00E34424" w:rsidRDefault="0052063B" w:rsidP="000A788C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Zakon o obnovi zgrada oštećenih potresom na području Grada Zagreba, Krapinsko-zagorske županije, Zagrebačke županije, Sisačko-moslavačke županije i Karlovačke županije</w:t>
      </w:r>
    </w:p>
    <w:p w14:paraId="4E26779A" w14:textId="77777777" w:rsidR="0052063B" w:rsidRPr="00E34424" w:rsidRDefault="0052063B" w:rsidP="000A788C">
      <w:pPr>
        <w:pStyle w:val="BodyText"/>
        <w:numPr>
          <w:ilvl w:val="0"/>
          <w:numId w:val="2"/>
        </w:numPr>
        <w:ind w:right="108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Odluka o donošenju Programa mjera obnove zgrada oštećenih potresom na području Grada Zagreba, Krapinsko-zagorske županije, Zagrebačke županije, Sisačko-</w:t>
      </w:r>
      <w:r w:rsidRPr="00E34424">
        <w:rPr>
          <w:sz w:val="24"/>
          <w:szCs w:val="24"/>
        </w:rPr>
        <w:lastRenderedPageBreak/>
        <w:t>moslavačke županije i Karlovačke županije</w:t>
      </w:r>
    </w:p>
    <w:p w14:paraId="34C72CFB" w14:textId="77777777" w:rsidR="0052063B" w:rsidRPr="00E34424" w:rsidRDefault="0052063B" w:rsidP="000A788C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Odluka o osiguranju novčane pomoći za privremenu i nužnu zaštitu i popravak zgrada oštećenih potresom na području Grada Zagreba i okolice</w:t>
      </w:r>
    </w:p>
    <w:p w14:paraId="58157173" w14:textId="77777777" w:rsidR="0052063B" w:rsidRPr="00E34424" w:rsidRDefault="0052063B" w:rsidP="000A788C">
      <w:pPr>
        <w:pStyle w:val="BodyText"/>
        <w:numPr>
          <w:ilvl w:val="0"/>
          <w:numId w:val="2"/>
        </w:numPr>
        <w:ind w:right="108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Odluka o osiguranju novčane pomoći za privremenu i nužnu zaštitu i popravak zgrada oštećenih potresom na području Grada Zagreba, Krapinsko-zagorske županije, Zagrebačke županije, Sisačko-moslavačke županije i Karlovačke županije</w:t>
      </w:r>
    </w:p>
    <w:p w14:paraId="49AE2191" w14:textId="77777777" w:rsidR="0052063B" w:rsidRDefault="0052063B" w:rsidP="000A788C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E34424">
        <w:rPr>
          <w:sz w:val="24"/>
          <w:szCs w:val="24"/>
        </w:rPr>
        <w:t>Odluka o načinu raspodjele bespovratnih financijskih sredstava iz Fonda solidarnosti Europske unije odobrenih za financiranje sanacije šteta od potresa na području Grada Zagreba, Krapinsko-zagorske županije i Zagrebačke županije, imenovanju i određivanju zaduženja nacionalnog koordinacijskog tijela, tijela odgovornih za provedbu financijskog doprinosa i neovisnog revizorskog tijela</w:t>
      </w:r>
    </w:p>
    <w:p w14:paraId="448C9F06" w14:textId="77777777" w:rsidR="000A788C" w:rsidRPr="00E34424" w:rsidRDefault="000A788C" w:rsidP="000A788C">
      <w:pPr>
        <w:pStyle w:val="BodyText"/>
        <w:ind w:left="527" w:right="108"/>
        <w:jc w:val="both"/>
        <w:rPr>
          <w:sz w:val="24"/>
          <w:szCs w:val="24"/>
        </w:rPr>
      </w:pPr>
    </w:p>
    <w:p w14:paraId="27BCC0F2" w14:textId="77777777" w:rsidR="00F12E2E" w:rsidRDefault="00F12E2E" w:rsidP="00600C7D">
      <w:pPr>
        <w:spacing w:after="120"/>
        <w:jc w:val="both"/>
      </w:pPr>
      <w:r w:rsidRPr="0044708F">
        <w:rPr>
          <w:u w:val="single"/>
        </w:rPr>
        <w:t>Opis aktivnosti</w:t>
      </w:r>
      <w:r>
        <w:t>:</w:t>
      </w:r>
    </w:p>
    <w:p w14:paraId="17A7C710" w14:textId="1E9D3570" w:rsidR="00596D4F" w:rsidRDefault="0052063B" w:rsidP="00600C7D">
      <w:pPr>
        <w:spacing w:after="120"/>
        <w:jc w:val="both"/>
      </w:pPr>
      <w:r>
        <w:t xml:space="preserve">U okviru ove aktivnosti sredstva su planirana za provedbu aktivnosti definiranih Zakonom o obnovi, Programom </w:t>
      </w:r>
      <w:r w:rsidRPr="00AA7939">
        <w:t xml:space="preserve">mjera i Odlukama o </w:t>
      </w:r>
      <w:r w:rsidRPr="00AA7939">
        <w:rPr>
          <w:rFonts w:eastAsia="Calibri"/>
        </w:rPr>
        <w:t>osiguranju novčane pomoći za privremenu i nužnu zaštitu i popravak zgrada oštećenih potresom</w:t>
      </w:r>
      <w:r w:rsidRPr="00AA7939">
        <w:t>,</w:t>
      </w:r>
      <w:r>
        <w:t xml:space="preserve"> kao što su: </w:t>
      </w:r>
      <w:r w:rsidRPr="00FC63BF">
        <w:t xml:space="preserve">usluge projektiranja, usluge kontrole projekata, usluge tehničko-financijske kontrole, usluge operativnih koordinatora, </w:t>
      </w:r>
      <w:r w:rsidRPr="000163A7">
        <w:t>usluge sudskih vještaka</w:t>
      </w:r>
      <w:r>
        <w:t xml:space="preserve">, usluge </w:t>
      </w:r>
      <w:r w:rsidRPr="000163A7">
        <w:t>ovlaštenih inženjera građevin</w:t>
      </w:r>
      <w:r>
        <w:t>e</w:t>
      </w:r>
      <w:r w:rsidRPr="00E6211F">
        <w:t xml:space="preserve">, </w:t>
      </w:r>
      <w:r>
        <w:t xml:space="preserve">usluge geotehničkih istraživanja, usluge ovlaštenih inženjera geodezije, usluge izrade generičkog troškovnika, usluge istraživanja i izrade konzervatorskog elaborata, </w:t>
      </w:r>
      <w:r w:rsidRPr="00E6211F">
        <w:t xml:space="preserve">izvođenje radova uklanjanja, obnove i gradnje, usluge stručnog nadzora </w:t>
      </w:r>
      <w:r w:rsidRPr="00315E15">
        <w:t xml:space="preserve">te provedba aktivnosti vezanih uz privremeni smještaj potresom pogođenog stanovništva. </w:t>
      </w:r>
      <w:r w:rsidRPr="009D2684">
        <w:t>Pored navedenih aktivnosti sredstva su također planirana za troškove osobama koje su sami krenuli u obnovu, kao i za isplatu naknada za štete uzrokovane potresom (nužni popravci).</w:t>
      </w:r>
      <w:r>
        <w:t xml:space="preserve"> </w:t>
      </w:r>
    </w:p>
    <w:p w14:paraId="2BF8976F" w14:textId="5AFD3D1E" w:rsidR="0044708F" w:rsidRDefault="0052063B" w:rsidP="0044708F">
      <w:pPr>
        <w:spacing w:after="120"/>
        <w:jc w:val="both"/>
      </w:pPr>
      <w:r>
        <w:t>Provedba navedenih aktivnosti financirati će se iz sljedećih izvora:</w:t>
      </w:r>
    </w:p>
    <w:p w14:paraId="1BA36F90" w14:textId="55BAEA01" w:rsidR="0044708F" w:rsidRPr="00466AB1" w:rsidRDefault="0052063B" w:rsidP="00600C7D">
      <w:pPr>
        <w:spacing w:after="120"/>
        <w:jc w:val="both"/>
      </w:pPr>
      <w:bookmarkStart w:id="2" w:name="_Hlk116221301"/>
      <w:r>
        <w:t xml:space="preserve">  - izvor 11 – Opći prihodi i primici (sredstva iz nadležnog proračuna koja se odnose na udio Republike Hrvatske kao suosnivača Fonda za obnovu) u iznosu od </w:t>
      </w:r>
      <w:r>
        <w:rPr>
          <w:rFonts w:eastAsia="Times New Roman"/>
          <w:color w:val="000000"/>
          <w:lang w:eastAsia="hr-HR"/>
        </w:rPr>
        <w:t>99.540.249</w:t>
      </w:r>
      <w:r w:rsidRPr="00AB28BD">
        <w:rPr>
          <w:rFonts w:eastAsia="Times New Roman"/>
          <w:color w:val="000000"/>
          <w:lang w:eastAsia="hr-HR"/>
        </w:rPr>
        <w:t xml:space="preserve"> EUR </w:t>
      </w:r>
      <w:r>
        <w:rPr>
          <w:rFonts w:eastAsia="Times New Roman"/>
          <w:color w:val="000000"/>
          <w:lang w:eastAsia="hr-HR"/>
        </w:rPr>
        <w:t xml:space="preserve">što predstavlja </w:t>
      </w:r>
      <w:r w:rsidRPr="00466AB1">
        <w:rPr>
          <w:rFonts w:eastAsia="Times New Roman"/>
          <w:lang w:eastAsia="hr-HR"/>
        </w:rPr>
        <w:t>7</w:t>
      </w:r>
      <w:r w:rsidR="003E24DB" w:rsidRPr="00466AB1">
        <w:rPr>
          <w:rFonts w:eastAsia="Times New Roman"/>
          <w:lang w:eastAsia="hr-HR"/>
        </w:rPr>
        <w:t>5</w:t>
      </w:r>
      <w:r w:rsidRPr="00466AB1">
        <w:rPr>
          <w:rFonts w:eastAsia="Times New Roman"/>
          <w:lang w:eastAsia="hr-HR"/>
        </w:rPr>
        <w:t>,9</w:t>
      </w:r>
      <w:r w:rsidR="003E24DB" w:rsidRPr="00466AB1">
        <w:rPr>
          <w:rFonts w:eastAsia="Times New Roman"/>
          <w:lang w:eastAsia="hr-HR"/>
        </w:rPr>
        <w:t>3</w:t>
      </w:r>
      <w:r w:rsidRPr="00466AB1">
        <w:rPr>
          <w:rFonts w:eastAsia="Times New Roman"/>
          <w:lang w:eastAsia="hr-HR"/>
        </w:rPr>
        <w:t>% planiranih rashoda za 2023.</w:t>
      </w:r>
      <w:r w:rsidRPr="00466AB1">
        <w:t xml:space="preserve">, </w:t>
      </w:r>
      <w:r w:rsidRPr="00466AB1">
        <w:rPr>
          <w:rFonts w:eastAsia="Times New Roman"/>
          <w:lang w:eastAsia="hr-HR"/>
        </w:rPr>
        <w:t>179.999.071 EUR</w:t>
      </w:r>
      <w:r w:rsidRPr="00466AB1">
        <w:t xml:space="preserve"> odnosno </w:t>
      </w:r>
      <w:r w:rsidRPr="00466AB1">
        <w:rPr>
          <w:rFonts w:eastAsia="Times New Roman"/>
          <w:lang w:eastAsia="hr-HR"/>
        </w:rPr>
        <w:t xml:space="preserve">83,44% za 2024. </w:t>
      </w:r>
      <w:r w:rsidRPr="00466AB1">
        <w:t xml:space="preserve">i </w:t>
      </w:r>
      <w:r w:rsidRPr="00466AB1">
        <w:rPr>
          <w:rFonts w:eastAsia="Times New Roman"/>
          <w:lang w:eastAsia="hr-HR"/>
        </w:rPr>
        <w:t>207.013.738 EUR odnosno 83,38% za 2025. godinu</w:t>
      </w:r>
      <w:r w:rsidRPr="00466AB1">
        <w:t>;</w:t>
      </w:r>
      <w:bookmarkEnd w:id="2"/>
    </w:p>
    <w:p w14:paraId="0A94FA15" w14:textId="71D2B45C" w:rsidR="0044708F" w:rsidRPr="00466AB1" w:rsidRDefault="0052063B" w:rsidP="00600C7D">
      <w:pPr>
        <w:spacing w:after="120"/>
        <w:jc w:val="both"/>
      </w:pPr>
      <w:r w:rsidRPr="00466AB1">
        <w:t xml:space="preserve"> - izvor 52 – Ostale pomoći i darovnice (sredstva iz JLP(R)S koja se odnose na udio suosnivača Fonda za obnovu) u iznosu od </w:t>
      </w:r>
      <w:r w:rsidRPr="00466AB1">
        <w:rPr>
          <w:rFonts w:eastAsia="Times New Roman"/>
          <w:lang w:eastAsia="en-GB"/>
        </w:rPr>
        <w:t xml:space="preserve">19.509.987 EUR </w:t>
      </w:r>
      <w:r w:rsidRPr="00466AB1">
        <w:rPr>
          <w:rFonts w:eastAsia="Times New Roman"/>
          <w:lang w:eastAsia="hr-HR"/>
        </w:rPr>
        <w:t>što predstavlja 1</w:t>
      </w:r>
      <w:r w:rsidR="00DB71A2" w:rsidRPr="00466AB1">
        <w:rPr>
          <w:rFonts w:eastAsia="Times New Roman"/>
          <w:lang w:eastAsia="hr-HR"/>
        </w:rPr>
        <w:t>4</w:t>
      </w:r>
      <w:r w:rsidRPr="00466AB1">
        <w:rPr>
          <w:rFonts w:eastAsia="Times New Roman"/>
          <w:lang w:eastAsia="hr-HR"/>
        </w:rPr>
        <w:t>,</w:t>
      </w:r>
      <w:r w:rsidR="00DB71A2" w:rsidRPr="00466AB1">
        <w:rPr>
          <w:rFonts w:eastAsia="Times New Roman"/>
          <w:lang w:eastAsia="hr-HR"/>
        </w:rPr>
        <w:t>8</w:t>
      </w:r>
      <w:r w:rsidRPr="00466AB1">
        <w:rPr>
          <w:rFonts w:eastAsia="Times New Roman"/>
          <w:lang w:eastAsia="hr-HR"/>
        </w:rPr>
        <w:t>8% planiranih rashoda za 2023.</w:t>
      </w:r>
      <w:r w:rsidRPr="00466AB1">
        <w:t xml:space="preserve">, </w:t>
      </w:r>
      <w:r w:rsidRPr="00466AB1">
        <w:rPr>
          <w:rFonts w:eastAsia="Times New Roman"/>
          <w:lang w:eastAsia="hr-HR"/>
        </w:rPr>
        <w:t>35.734.554 EUR odnosno 16,56% za 2024</w:t>
      </w:r>
      <w:r w:rsidRPr="00466AB1">
        <w:t xml:space="preserve">. i </w:t>
      </w:r>
      <w:r w:rsidR="004869BA" w:rsidRPr="00466AB1">
        <w:t xml:space="preserve"> </w:t>
      </w:r>
      <w:r w:rsidRPr="00466AB1">
        <w:rPr>
          <w:rFonts w:eastAsia="Times New Roman"/>
          <w:lang w:eastAsia="hr-HR"/>
        </w:rPr>
        <w:t>41.270.025 EUR 16,62% za 2025. godinu</w:t>
      </w:r>
      <w:r w:rsidRPr="00466AB1">
        <w:t>;</w:t>
      </w:r>
    </w:p>
    <w:p w14:paraId="1E9839B2" w14:textId="41700B1A" w:rsidR="0044708F" w:rsidRDefault="0052063B" w:rsidP="00600C7D">
      <w:pPr>
        <w:spacing w:after="120"/>
        <w:jc w:val="both"/>
      </w:pPr>
      <w:r w:rsidRPr="00466AB1">
        <w:t xml:space="preserve"> - izvor 5761 – Fond solidarnosti Europske unije – potres ožujak 2020. (sredstva koja se odnose na financiranje iz Fonda solidarnosti sukladno Odluci o načinu raspodjele bespovratnih financijskih sredstava) u iznosu od </w:t>
      </w:r>
      <w:r w:rsidR="004869BA" w:rsidRPr="00466AB1">
        <w:t xml:space="preserve"> </w:t>
      </w:r>
      <w:r w:rsidR="00264E10" w:rsidRPr="00466AB1">
        <w:t>12.040.170</w:t>
      </w:r>
      <w:r w:rsidRPr="00466AB1">
        <w:rPr>
          <w:rFonts w:eastAsia="Times New Roman"/>
          <w:lang w:eastAsia="en-GB"/>
        </w:rPr>
        <w:t xml:space="preserve"> EUR odnosno što predstavlja </w:t>
      </w:r>
      <w:r w:rsidR="00B64A89" w:rsidRPr="00466AB1">
        <w:rPr>
          <w:rFonts w:eastAsia="Times New Roman"/>
          <w:lang w:eastAsia="hr-HR"/>
        </w:rPr>
        <w:t>9</w:t>
      </w:r>
      <w:r w:rsidRPr="00466AB1">
        <w:rPr>
          <w:rFonts w:eastAsia="Times New Roman"/>
          <w:lang w:eastAsia="hr-HR"/>
        </w:rPr>
        <w:t>,</w:t>
      </w:r>
      <w:r w:rsidR="00B64A89" w:rsidRPr="00466AB1">
        <w:rPr>
          <w:rFonts w:eastAsia="Times New Roman"/>
          <w:lang w:eastAsia="hr-HR"/>
        </w:rPr>
        <w:t>1</w:t>
      </w:r>
      <w:r w:rsidR="00943C5B" w:rsidRPr="00466AB1">
        <w:rPr>
          <w:rFonts w:eastAsia="Times New Roman"/>
          <w:lang w:eastAsia="hr-HR"/>
        </w:rPr>
        <w:t>9</w:t>
      </w:r>
      <w:r w:rsidRPr="00466AB1">
        <w:rPr>
          <w:rFonts w:eastAsia="Times New Roman"/>
          <w:lang w:eastAsia="hr-HR"/>
        </w:rPr>
        <w:t xml:space="preserve"> %</w:t>
      </w:r>
      <w:r w:rsidRPr="00466AB1">
        <w:t xml:space="preserve"> ukupnih </w:t>
      </w:r>
      <w:r>
        <w:t>rashoda u 2023. godini. Za 2024. i 2025. godinu na ovom izvoru nema planiranih rashoda.</w:t>
      </w:r>
    </w:p>
    <w:p w14:paraId="240C5172" w14:textId="77777777" w:rsidR="0052063B" w:rsidRDefault="0052063B" w:rsidP="000A788C">
      <w:pPr>
        <w:jc w:val="both"/>
        <w:rPr>
          <w:rFonts w:eastAsia="Times New Roman"/>
          <w:lang w:eastAsia="hr-HR"/>
        </w:rPr>
      </w:pPr>
      <w:r>
        <w:t xml:space="preserve">Navedeno je prikazano </w:t>
      </w:r>
      <w:r>
        <w:rPr>
          <w:rFonts w:eastAsia="Times New Roman"/>
          <w:lang w:eastAsia="hr-HR"/>
        </w:rPr>
        <w:t>u posebnom dijelu plana rashoda i izdataka za 2023. godinu s projekcijama za 2024. i 2025. godinu (Prilog 7.).</w:t>
      </w:r>
    </w:p>
    <w:p w14:paraId="10CFE378" w14:textId="77777777" w:rsidR="00600C7D" w:rsidRPr="003931A3" w:rsidRDefault="00600C7D" w:rsidP="000A788C">
      <w:pPr>
        <w:jc w:val="both"/>
      </w:pPr>
    </w:p>
    <w:p w14:paraId="079D48A1" w14:textId="4A008C28" w:rsidR="0052063B" w:rsidRPr="00F34949" w:rsidRDefault="0052063B" w:rsidP="00F34949">
      <w:pPr>
        <w:spacing w:after="120"/>
        <w:jc w:val="both"/>
        <w:rPr>
          <w:u w:val="single"/>
        </w:rPr>
      </w:pPr>
      <w:r w:rsidRPr="00F34949">
        <w:rPr>
          <w:u w:val="single"/>
        </w:rPr>
        <w:t>Pokazatelj rezultata broj 1.</w:t>
      </w:r>
      <w:r w:rsidRPr="003E20B3">
        <w:t>:</w:t>
      </w:r>
    </w:p>
    <w:p w14:paraId="37F7F42C" w14:textId="77777777" w:rsidR="0052063B" w:rsidRDefault="0052063B" w:rsidP="003E20B3">
      <w:pPr>
        <w:pStyle w:val="BodyText"/>
        <w:jc w:val="both"/>
        <w:rPr>
          <w:sz w:val="24"/>
          <w:szCs w:val="24"/>
        </w:rPr>
      </w:pPr>
      <w:r w:rsidRPr="006000DA">
        <w:rPr>
          <w:sz w:val="24"/>
          <w:szCs w:val="24"/>
        </w:rPr>
        <w:t>Postotak provedenih akata (odluke, privremene odluke, zaključci i rješenja) o obnovi</w:t>
      </w:r>
      <w:r>
        <w:rPr>
          <w:sz w:val="24"/>
          <w:szCs w:val="24"/>
        </w:rPr>
        <w:t xml:space="preserve">/novčanoj pomoći </w:t>
      </w:r>
      <w:r w:rsidRPr="006000DA">
        <w:rPr>
          <w:sz w:val="24"/>
          <w:szCs w:val="24"/>
        </w:rPr>
        <w:t>zaprimljenih od strane Ministarstva prostornoga uređenja, graditeljstva i državne imovine</w:t>
      </w:r>
    </w:p>
    <w:p w14:paraId="077E1D9D" w14:textId="77777777" w:rsidR="003E20B3" w:rsidRPr="006000DA" w:rsidRDefault="003E20B3" w:rsidP="003E20B3">
      <w:pPr>
        <w:pStyle w:val="BodyText"/>
        <w:jc w:val="both"/>
        <w:rPr>
          <w:sz w:val="24"/>
          <w:szCs w:val="24"/>
        </w:rPr>
      </w:pPr>
    </w:p>
    <w:p w14:paraId="3E5F11DA" w14:textId="77777777" w:rsidR="0052063B" w:rsidRPr="00F34949" w:rsidRDefault="0052063B" w:rsidP="00F34949">
      <w:pPr>
        <w:spacing w:after="120"/>
        <w:jc w:val="both"/>
        <w:rPr>
          <w:u w:val="single"/>
        </w:rPr>
      </w:pPr>
      <w:r w:rsidRPr="00F34949">
        <w:rPr>
          <w:u w:val="single"/>
        </w:rPr>
        <w:t>Definicija pokazatelja rezultata</w:t>
      </w:r>
      <w:r w:rsidRPr="003E20B3">
        <w:t>:</w:t>
      </w:r>
    </w:p>
    <w:p w14:paraId="603CB82D" w14:textId="77777777" w:rsidR="0052063B" w:rsidRPr="00F07EE1" w:rsidRDefault="0052063B" w:rsidP="00600C7D">
      <w:pPr>
        <w:pStyle w:val="BodyText"/>
        <w:ind w:left="74"/>
        <w:jc w:val="both"/>
        <w:rPr>
          <w:sz w:val="24"/>
          <w:szCs w:val="24"/>
          <w:highlight w:val="yellow"/>
        </w:rPr>
      </w:pPr>
      <w:r w:rsidRPr="006000DA">
        <w:rPr>
          <w:sz w:val="24"/>
          <w:szCs w:val="24"/>
        </w:rPr>
        <w:t>Povećanje postotka provedenih akata o obnovi</w:t>
      </w:r>
      <w:r>
        <w:rPr>
          <w:sz w:val="24"/>
          <w:szCs w:val="24"/>
        </w:rPr>
        <w:t>/novčanoj pomoći</w:t>
      </w:r>
      <w:r w:rsidRPr="006000DA">
        <w:rPr>
          <w:sz w:val="24"/>
          <w:szCs w:val="24"/>
        </w:rPr>
        <w:t xml:space="preserve"> zaprimljenih od strane Ministarstva prostornoga uređenja, graditeljstva i državne imovine doprinijeti će povećanju </w:t>
      </w:r>
      <w:r w:rsidRPr="006000DA">
        <w:rPr>
          <w:sz w:val="24"/>
          <w:szCs w:val="24"/>
        </w:rPr>
        <w:lastRenderedPageBreak/>
        <w:t xml:space="preserve">postotka obnovljenih obiteljskih kuća </w:t>
      </w:r>
      <w:r w:rsidRPr="00B36BE8">
        <w:rPr>
          <w:sz w:val="24"/>
          <w:szCs w:val="24"/>
        </w:rPr>
        <w:t>te višestambenih</w:t>
      </w:r>
      <w:r>
        <w:rPr>
          <w:sz w:val="24"/>
          <w:szCs w:val="24"/>
        </w:rPr>
        <w:t xml:space="preserve">, </w:t>
      </w:r>
      <w:r w:rsidRPr="00B36BE8">
        <w:rPr>
          <w:sz w:val="24"/>
          <w:szCs w:val="24"/>
        </w:rPr>
        <w:t>stambeno-poslovnih</w:t>
      </w:r>
      <w:r>
        <w:rPr>
          <w:sz w:val="24"/>
          <w:szCs w:val="24"/>
        </w:rPr>
        <w:t xml:space="preserve"> i poslovnih </w:t>
      </w:r>
      <w:r w:rsidRPr="00B36BE8">
        <w:rPr>
          <w:sz w:val="24"/>
          <w:szCs w:val="24"/>
        </w:rPr>
        <w:t>zgrada oštećenih potresom</w:t>
      </w:r>
      <w:r>
        <w:rPr>
          <w:sz w:val="24"/>
          <w:szCs w:val="24"/>
        </w:rPr>
        <w:t>.</w:t>
      </w:r>
    </w:p>
    <w:p w14:paraId="14728A57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Jedinica: %</w:t>
      </w:r>
    </w:p>
    <w:p w14:paraId="0931E5FA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Polazna vrijednost: 0%</w:t>
      </w:r>
    </w:p>
    <w:p w14:paraId="5A506E67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Izvor podataka: Fond za obnovu</w:t>
      </w:r>
    </w:p>
    <w:p w14:paraId="5AA8434D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Ciljana vrijednost (2023.): 95%</w:t>
      </w:r>
    </w:p>
    <w:p w14:paraId="042AD1AB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Ciljana vrijednost (2024.): 95%</w:t>
      </w:r>
    </w:p>
    <w:p w14:paraId="79BA47C9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Ciljana vrijednost (2025.): 95%</w:t>
      </w:r>
    </w:p>
    <w:p w14:paraId="7A60F2D6" w14:textId="77777777" w:rsidR="0052063B" w:rsidRDefault="0052063B" w:rsidP="00600C7D">
      <w:pPr>
        <w:pStyle w:val="BodyText"/>
        <w:ind w:left="72"/>
        <w:rPr>
          <w:bCs/>
          <w:spacing w:val="16"/>
          <w:sz w:val="24"/>
          <w:szCs w:val="24"/>
          <w:u w:val="single"/>
        </w:rPr>
      </w:pPr>
    </w:p>
    <w:p w14:paraId="7450EFA7" w14:textId="77777777" w:rsidR="0052063B" w:rsidRPr="00F34949" w:rsidRDefault="0052063B" w:rsidP="00F34949">
      <w:pPr>
        <w:spacing w:after="120"/>
        <w:jc w:val="both"/>
        <w:rPr>
          <w:u w:val="single"/>
        </w:rPr>
      </w:pPr>
      <w:r w:rsidRPr="00F34949">
        <w:rPr>
          <w:u w:val="single"/>
        </w:rPr>
        <w:t>Pokazatelj rezultata broj 2.</w:t>
      </w:r>
      <w:r w:rsidRPr="003E20B3">
        <w:t>:</w:t>
      </w:r>
    </w:p>
    <w:p w14:paraId="6006D9DE" w14:textId="66B7D8BE" w:rsidR="0052063B" w:rsidRDefault="0052063B" w:rsidP="00600C7D">
      <w:pPr>
        <w:pStyle w:val="BodyText"/>
        <w:ind w:left="74"/>
        <w:jc w:val="both"/>
        <w:rPr>
          <w:sz w:val="24"/>
          <w:szCs w:val="24"/>
        </w:rPr>
      </w:pPr>
      <w:r w:rsidRPr="006000DA">
        <w:rPr>
          <w:sz w:val="24"/>
          <w:szCs w:val="24"/>
        </w:rPr>
        <w:t xml:space="preserve">Postotak provedenih </w:t>
      </w:r>
      <w:r>
        <w:rPr>
          <w:sz w:val="24"/>
          <w:szCs w:val="24"/>
        </w:rPr>
        <w:t xml:space="preserve">zahtjeva za </w:t>
      </w:r>
      <w:r w:rsidRPr="0060001B">
        <w:rPr>
          <w:sz w:val="24"/>
          <w:szCs w:val="24"/>
        </w:rPr>
        <w:t>organiziranu obnovu nekonstrukcijskih elemenata zgrade na temelju javnih poziva Fonda za obnovu</w:t>
      </w:r>
      <w:r w:rsidR="002243BD">
        <w:rPr>
          <w:sz w:val="24"/>
          <w:szCs w:val="24"/>
        </w:rPr>
        <w:t>.</w:t>
      </w:r>
    </w:p>
    <w:p w14:paraId="6A34480E" w14:textId="77777777" w:rsidR="003E20B3" w:rsidRPr="006000DA" w:rsidRDefault="003E20B3" w:rsidP="00600C7D">
      <w:pPr>
        <w:pStyle w:val="BodyText"/>
        <w:ind w:left="74"/>
        <w:jc w:val="both"/>
        <w:rPr>
          <w:sz w:val="24"/>
          <w:szCs w:val="24"/>
        </w:rPr>
      </w:pPr>
    </w:p>
    <w:p w14:paraId="01E111C3" w14:textId="77777777" w:rsidR="0052063B" w:rsidRPr="00F34949" w:rsidRDefault="0052063B" w:rsidP="00F34949">
      <w:pPr>
        <w:spacing w:after="120"/>
        <w:jc w:val="both"/>
        <w:rPr>
          <w:u w:val="single"/>
        </w:rPr>
      </w:pPr>
      <w:r w:rsidRPr="00F34949">
        <w:rPr>
          <w:u w:val="single"/>
        </w:rPr>
        <w:t>Definicija pokazatelja rezultata</w:t>
      </w:r>
      <w:r w:rsidRPr="003E20B3">
        <w:t>:</w:t>
      </w:r>
    </w:p>
    <w:p w14:paraId="32731FD6" w14:textId="77777777" w:rsidR="0052063B" w:rsidRPr="00F07EE1" w:rsidRDefault="0052063B" w:rsidP="00600C7D">
      <w:pPr>
        <w:pStyle w:val="BodyText"/>
        <w:ind w:left="74"/>
        <w:jc w:val="both"/>
        <w:rPr>
          <w:sz w:val="24"/>
          <w:szCs w:val="24"/>
          <w:highlight w:val="yellow"/>
        </w:rPr>
      </w:pPr>
      <w:r w:rsidRPr="006000DA">
        <w:rPr>
          <w:sz w:val="24"/>
          <w:szCs w:val="24"/>
        </w:rPr>
        <w:t>Povećanje postotka provedenih</w:t>
      </w:r>
      <w:r>
        <w:rPr>
          <w:sz w:val="24"/>
          <w:szCs w:val="24"/>
        </w:rPr>
        <w:t xml:space="preserve"> zahtjeva za organiziranu obnovu nekonstrukcijskih elemenata zgrade </w:t>
      </w:r>
      <w:r w:rsidRPr="006000DA">
        <w:rPr>
          <w:sz w:val="24"/>
          <w:szCs w:val="24"/>
        </w:rPr>
        <w:t xml:space="preserve">zaprimljenih </w:t>
      </w:r>
      <w:r>
        <w:rPr>
          <w:sz w:val="24"/>
          <w:szCs w:val="24"/>
        </w:rPr>
        <w:t>na temelju javnog poziva Fonda za obnovu</w:t>
      </w:r>
      <w:r w:rsidRPr="006000DA">
        <w:rPr>
          <w:sz w:val="24"/>
          <w:szCs w:val="24"/>
        </w:rPr>
        <w:t xml:space="preserve"> doprinijet</w:t>
      </w:r>
      <w:r>
        <w:rPr>
          <w:sz w:val="24"/>
          <w:szCs w:val="24"/>
        </w:rPr>
        <w:t>i</w:t>
      </w:r>
      <w:r w:rsidRPr="006000DA">
        <w:rPr>
          <w:sz w:val="24"/>
          <w:szCs w:val="24"/>
        </w:rPr>
        <w:t xml:space="preserve"> će povećanju postotka obnovljenih </w:t>
      </w:r>
      <w:r w:rsidRPr="00B36BE8">
        <w:rPr>
          <w:sz w:val="24"/>
          <w:szCs w:val="24"/>
        </w:rPr>
        <w:t>zgrada oštećenih potresom</w:t>
      </w:r>
      <w:r>
        <w:rPr>
          <w:sz w:val="24"/>
          <w:szCs w:val="24"/>
        </w:rPr>
        <w:t>.</w:t>
      </w:r>
    </w:p>
    <w:p w14:paraId="05991EDA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Jedinica: %</w:t>
      </w:r>
    </w:p>
    <w:p w14:paraId="5E414DF6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Polazna vrijednost:</w:t>
      </w:r>
      <w:r w:rsidRPr="0060001B">
        <w:rPr>
          <w:sz w:val="24"/>
          <w:szCs w:val="24"/>
        </w:rPr>
        <w:t xml:space="preserve"> </w:t>
      </w:r>
      <w:r w:rsidRPr="003E20B3">
        <w:rPr>
          <w:sz w:val="24"/>
          <w:szCs w:val="24"/>
        </w:rPr>
        <w:t>0%</w:t>
      </w:r>
    </w:p>
    <w:p w14:paraId="0A58BC20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Izvor podataka: Fond za obnovu</w:t>
      </w:r>
    </w:p>
    <w:p w14:paraId="0935BE5E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Ciljana vrijednost (2023.): 98%</w:t>
      </w:r>
    </w:p>
    <w:p w14:paraId="6DD4CC1A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Ciljana vrijednost (2024.): 98%</w:t>
      </w:r>
    </w:p>
    <w:p w14:paraId="17A6E4E1" w14:textId="77777777" w:rsidR="0052063B" w:rsidRPr="003E20B3" w:rsidRDefault="0052063B" w:rsidP="003E20B3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3E20B3">
        <w:rPr>
          <w:sz w:val="24"/>
          <w:szCs w:val="24"/>
        </w:rPr>
        <w:t>Ciljana vrijednost (2025.): 98%</w:t>
      </w:r>
    </w:p>
    <w:p w14:paraId="436A7011" w14:textId="77777777" w:rsidR="0052063B" w:rsidRPr="00F07EE1" w:rsidRDefault="0052063B" w:rsidP="003E20B3">
      <w:pPr>
        <w:pStyle w:val="BodyText"/>
        <w:rPr>
          <w:bCs/>
          <w:spacing w:val="16"/>
          <w:sz w:val="24"/>
          <w:szCs w:val="24"/>
          <w:highlight w:val="yellow"/>
          <w:u w:val="single"/>
        </w:rPr>
      </w:pPr>
    </w:p>
    <w:p w14:paraId="655A1005" w14:textId="5BC0F223" w:rsidR="0052063B" w:rsidRDefault="003E20B3" w:rsidP="00600C7D">
      <w:pPr>
        <w:widowControl w:val="0"/>
        <w:autoSpaceDE w:val="0"/>
        <w:autoSpaceDN w:val="0"/>
        <w:ind w:right="238"/>
        <w:rPr>
          <w:b/>
          <w:bCs/>
        </w:rPr>
      </w:pPr>
      <w:r w:rsidRPr="00B71E88">
        <w:rPr>
          <w:b/>
          <w:bCs/>
        </w:rPr>
        <w:t xml:space="preserve">Obrazloženje </w:t>
      </w:r>
      <w:r>
        <w:rPr>
          <w:b/>
          <w:bCs/>
        </w:rPr>
        <w:t xml:space="preserve">aktivnosti - </w:t>
      </w:r>
      <w:r w:rsidR="0052063B" w:rsidRPr="003E20B3">
        <w:rPr>
          <w:b/>
          <w:bCs/>
        </w:rPr>
        <w:t>A915007 Administracija i upravljanje Fondom za obnovu</w:t>
      </w:r>
    </w:p>
    <w:p w14:paraId="3A65129A" w14:textId="77777777" w:rsidR="003E20B3" w:rsidRPr="003E20B3" w:rsidRDefault="003E20B3" w:rsidP="003E20B3">
      <w:pPr>
        <w:pStyle w:val="ListParagraph"/>
        <w:ind w:left="528"/>
        <w:jc w:val="both"/>
        <w:rPr>
          <w:u w:val="single"/>
        </w:rPr>
      </w:pPr>
    </w:p>
    <w:p w14:paraId="4B257378" w14:textId="77777777" w:rsidR="0052063B" w:rsidRPr="00F34949" w:rsidRDefault="0052063B" w:rsidP="00F34949">
      <w:pPr>
        <w:spacing w:after="120"/>
        <w:jc w:val="both"/>
        <w:rPr>
          <w:u w:val="single"/>
        </w:rPr>
      </w:pPr>
      <w:r w:rsidRPr="00F34949">
        <w:rPr>
          <w:u w:val="single"/>
        </w:rPr>
        <w:t>Zakonske i druge pravne osnove</w:t>
      </w:r>
      <w:r w:rsidRPr="00F34949">
        <w:t>:</w:t>
      </w:r>
    </w:p>
    <w:p w14:paraId="76CBB2C2" w14:textId="77777777" w:rsidR="0052063B" w:rsidRPr="00EE61F6" w:rsidRDefault="0052063B" w:rsidP="00600C7D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EE61F6">
        <w:rPr>
          <w:sz w:val="24"/>
          <w:szCs w:val="24"/>
        </w:rPr>
        <w:t>Ugovor između Republike Hrvatske, Grada Zagreba, Krapinsko-zagorske županije i Zagrebačke županije o osnivanju Fonda za obnovu Grada Zagreba, Krapinsko-zagorske županije i Zagrebačke županije od 29. listopada 2020. godine</w:t>
      </w:r>
    </w:p>
    <w:p w14:paraId="7F95B974" w14:textId="77777777" w:rsidR="0052063B" w:rsidRDefault="0052063B" w:rsidP="00600C7D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EE61F6">
        <w:rPr>
          <w:sz w:val="24"/>
          <w:szCs w:val="24"/>
        </w:rPr>
        <w:t>Statut Fonda za obnovu Grada Zagreba, Krapinsko-zagorske županije i Zagrebačke županije</w:t>
      </w:r>
    </w:p>
    <w:p w14:paraId="115EC52B" w14:textId="77777777" w:rsidR="00F34949" w:rsidRPr="00EE61F6" w:rsidRDefault="00F34949" w:rsidP="008B4E7D">
      <w:pPr>
        <w:pStyle w:val="BodyText"/>
        <w:ind w:left="527" w:right="108"/>
        <w:jc w:val="both"/>
        <w:rPr>
          <w:sz w:val="24"/>
          <w:szCs w:val="24"/>
        </w:rPr>
      </w:pPr>
    </w:p>
    <w:p w14:paraId="26459D92" w14:textId="77777777" w:rsidR="008B4E7D" w:rsidRDefault="008B4E7D" w:rsidP="008B4E7D">
      <w:pPr>
        <w:spacing w:after="120"/>
        <w:jc w:val="both"/>
      </w:pPr>
      <w:r w:rsidRPr="0044708F">
        <w:rPr>
          <w:u w:val="single"/>
        </w:rPr>
        <w:t>Opis aktivnosti</w:t>
      </w:r>
      <w:r>
        <w:t>:</w:t>
      </w:r>
    </w:p>
    <w:p w14:paraId="34B05E45" w14:textId="77777777" w:rsidR="0052063B" w:rsidRPr="005E50C5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</w:rPr>
      </w:pPr>
      <w:r w:rsidRPr="005E50C5">
        <w:rPr>
          <w:rFonts w:eastAsia="Times New Roman"/>
        </w:rPr>
        <w:t>U okviru ove aktivnosti sredstva su planirana za administrativne troškove rada Fonda za obnovu</w:t>
      </w:r>
      <w:r>
        <w:rPr>
          <w:rFonts w:eastAsia="Times New Roman"/>
        </w:rPr>
        <w:t>, kao što su: rashodi za zaposlene (</w:t>
      </w:r>
      <w:r>
        <w:rPr>
          <w:rFonts w:eastAsia="Times New Roman"/>
          <w:color w:val="000000"/>
          <w:lang w:eastAsia="hr-HR"/>
        </w:rPr>
        <w:t>plaće, doprinosi i ostali rashodi za zaposlene</w:t>
      </w:r>
      <w:r>
        <w:rPr>
          <w:rFonts w:eastAsia="Times New Roman"/>
        </w:rPr>
        <w:t>), materijalni rashodi (</w:t>
      </w:r>
      <w:r>
        <w:rPr>
          <w:rFonts w:eastAsia="Times New Roman"/>
          <w:color w:val="000000"/>
          <w:lang w:eastAsia="hr-HR"/>
        </w:rPr>
        <w:t xml:space="preserve">naknade troškova zaposlenima, rashodi za materijal i energiju, rashodi za usluge, naknade troškova osobama izvan radnog odnosa i ostali nespomenuti rashodi poslovanja), financijski rashodi (bankarske usluge i usluge platnog prometa, zatezne kamate i ostali nespomenuti financijski rashodi) i </w:t>
      </w:r>
      <w:r>
        <w:rPr>
          <w:rFonts w:eastAsia="Times New Roman"/>
        </w:rPr>
        <w:t>r</w:t>
      </w:r>
      <w:r>
        <w:rPr>
          <w:rFonts w:eastAsia="Times New Roman"/>
          <w:lang w:eastAsia="hr-HR"/>
        </w:rPr>
        <w:t>ashodi za nabavu proizvedene dugotrajne imovine (uredska oprema i namještaj, komunikacijska oprema, oprema za održavanje i zaštitu te uređaji, strojevi i oprema za ostale namjene).</w:t>
      </w:r>
    </w:p>
    <w:p w14:paraId="6D1D4226" w14:textId="77777777" w:rsidR="0052063B" w:rsidRPr="005E50C5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</w:rPr>
      </w:pPr>
      <w:r w:rsidRPr="005E50C5">
        <w:rPr>
          <w:rFonts w:eastAsia="Times New Roman"/>
        </w:rPr>
        <w:t>Provedba navedenih aktivnosti financirati će se iz sljedećih izvora:</w:t>
      </w:r>
    </w:p>
    <w:p w14:paraId="167F97C7" w14:textId="66649978" w:rsidR="0052063B" w:rsidRPr="002B6F86" w:rsidRDefault="0052063B" w:rsidP="008B4E7D">
      <w:pPr>
        <w:widowControl w:val="0"/>
        <w:autoSpaceDE w:val="0"/>
        <w:autoSpaceDN w:val="0"/>
        <w:spacing w:after="120"/>
        <w:ind w:right="238"/>
        <w:jc w:val="both"/>
      </w:pPr>
      <w:r w:rsidRPr="002B6F86">
        <w:t xml:space="preserve"> - izvor 11 – Opći prihodi i primici (sredstva iz nadležnog proračuna koja se odnose na udio Republike Hrvatske kao suosnivača Fonda za obnovu) u iznosu od </w:t>
      </w:r>
      <w:r w:rsidRPr="005E50A2">
        <w:t>4.360.474 EUR</w:t>
      </w:r>
      <w:r w:rsidRPr="002B6F86">
        <w:t xml:space="preserve"> što predstavlja </w:t>
      </w:r>
      <w:r w:rsidRPr="005E2A9E">
        <w:t xml:space="preserve">80,02% planiranih </w:t>
      </w:r>
      <w:r w:rsidRPr="002B6F86">
        <w:t xml:space="preserve">rashoda za 2023., </w:t>
      </w:r>
      <w:r w:rsidRPr="00F86923">
        <w:t xml:space="preserve">4.449.665 EUR </w:t>
      </w:r>
      <w:r w:rsidRPr="002B6F86">
        <w:t xml:space="preserve">odnosno </w:t>
      </w:r>
      <w:r w:rsidRPr="006041AE">
        <w:t xml:space="preserve">80,01% </w:t>
      </w:r>
      <w:r w:rsidRPr="002B6F86">
        <w:t xml:space="preserve">za 2024. i </w:t>
      </w:r>
      <w:r w:rsidRPr="007833D0">
        <w:t>4.458.291 EUR</w:t>
      </w:r>
      <w:r w:rsidRPr="008B4E7D">
        <w:t xml:space="preserve"> </w:t>
      </w:r>
      <w:r w:rsidRPr="002B6F86">
        <w:t xml:space="preserve">odnosno </w:t>
      </w:r>
      <w:r w:rsidRPr="006041AE">
        <w:t>80,01</w:t>
      </w:r>
      <w:r w:rsidRPr="006154C7">
        <w:t xml:space="preserve">% </w:t>
      </w:r>
      <w:r w:rsidRPr="002B6F86">
        <w:t>za 2025. godinu;</w:t>
      </w:r>
    </w:p>
    <w:p w14:paraId="37EE7D64" w14:textId="6C3AF321" w:rsidR="0052063B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  <w:color w:val="000000"/>
          <w:lang w:eastAsia="hr-HR"/>
        </w:rPr>
      </w:pPr>
      <w:r>
        <w:lastRenderedPageBreak/>
        <w:t xml:space="preserve">- </w:t>
      </w:r>
      <w:r w:rsidRPr="00B171D5">
        <w:rPr>
          <w:rFonts w:eastAsia="Times New Roman"/>
          <w:color w:val="000000"/>
          <w:lang w:eastAsia="hr-HR"/>
        </w:rPr>
        <w:t xml:space="preserve">izvor 52 – Ostale pomoći i darovnice (sredstva iz JLP(R)S koja se odnose na udio suosnivača Fonda za obnovu) u iznosu od </w:t>
      </w:r>
      <w:r w:rsidRPr="00622B04">
        <w:rPr>
          <w:rFonts w:eastAsia="Times New Roman"/>
          <w:lang w:eastAsia="hr-HR"/>
        </w:rPr>
        <w:t xml:space="preserve">1.089.031 EUR </w:t>
      </w:r>
      <w:r w:rsidRPr="00B171D5">
        <w:rPr>
          <w:rFonts w:eastAsia="Times New Roman"/>
          <w:color w:val="000000"/>
          <w:lang w:eastAsia="hr-HR"/>
        </w:rPr>
        <w:t xml:space="preserve">što predstavlja </w:t>
      </w:r>
      <w:r w:rsidRPr="00913CFD">
        <w:rPr>
          <w:rFonts w:eastAsia="Times New Roman"/>
          <w:lang w:eastAsia="hr-HR"/>
        </w:rPr>
        <w:t xml:space="preserve">19,98% planiranih rashoda za 2023., 1.111.461 EUR odnosno 19,99% za 2024. i 1.113.716 EUR 19,99% </w:t>
      </w:r>
      <w:r w:rsidRPr="00B171D5">
        <w:rPr>
          <w:rFonts w:eastAsia="Times New Roman"/>
          <w:color w:val="000000"/>
          <w:lang w:eastAsia="hr-HR"/>
        </w:rPr>
        <w:t>za 2025. godinu</w:t>
      </w:r>
      <w:r>
        <w:rPr>
          <w:rFonts w:eastAsia="Times New Roman"/>
          <w:color w:val="000000"/>
          <w:lang w:eastAsia="hr-HR"/>
        </w:rPr>
        <w:t>.</w:t>
      </w:r>
    </w:p>
    <w:p w14:paraId="534D45D6" w14:textId="77777777" w:rsidR="0052063B" w:rsidRDefault="0052063B" w:rsidP="00600C7D">
      <w:pPr>
        <w:widowControl w:val="0"/>
        <w:autoSpaceDE w:val="0"/>
        <w:autoSpaceDN w:val="0"/>
        <w:ind w:right="238"/>
        <w:jc w:val="both"/>
        <w:rPr>
          <w:rFonts w:eastAsia="Times New Roman"/>
          <w:color w:val="000000"/>
          <w:lang w:eastAsia="hr-HR"/>
        </w:rPr>
      </w:pPr>
      <w:r>
        <w:t xml:space="preserve">Navedeno je prikazano </w:t>
      </w:r>
      <w:r>
        <w:rPr>
          <w:rFonts w:eastAsia="Times New Roman"/>
          <w:lang w:eastAsia="hr-HR"/>
        </w:rPr>
        <w:t>u posebnom dijelu plana rashoda i izdataka za 2023. godinu s projekcijama za 2024. i 2025. godinu (Prilog 7.).</w:t>
      </w:r>
    </w:p>
    <w:p w14:paraId="567CFAC8" w14:textId="77777777" w:rsidR="0052063B" w:rsidRPr="00865C7D" w:rsidRDefault="0052063B" w:rsidP="00600C7D">
      <w:pPr>
        <w:widowControl w:val="0"/>
        <w:autoSpaceDE w:val="0"/>
        <w:autoSpaceDN w:val="0"/>
        <w:ind w:right="238"/>
        <w:jc w:val="both"/>
        <w:rPr>
          <w:rFonts w:eastAsia="Times New Roman"/>
          <w:color w:val="000000"/>
          <w:lang w:eastAsia="hr-HR"/>
        </w:rPr>
      </w:pPr>
    </w:p>
    <w:p w14:paraId="13ADB4E8" w14:textId="05016652" w:rsidR="0052063B" w:rsidRDefault="008B4E7D" w:rsidP="00600C7D">
      <w:pPr>
        <w:widowControl w:val="0"/>
        <w:autoSpaceDE w:val="0"/>
        <w:autoSpaceDN w:val="0"/>
        <w:ind w:right="238"/>
        <w:rPr>
          <w:b/>
          <w:bCs/>
        </w:rPr>
      </w:pPr>
      <w:r w:rsidRPr="00B71E88">
        <w:rPr>
          <w:b/>
          <w:bCs/>
        </w:rPr>
        <w:t xml:space="preserve">Obrazloženje </w:t>
      </w:r>
      <w:r>
        <w:rPr>
          <w:b/>
          <w:bCs/>
        </w:rPr>
        <w:t xml:space="preserve">aktivnosti - </w:t>
      </w:r>
      <w:r w:rsidR="0052063B" w:rsidRPr="008B4E7D">
        <w:rPr>
          <w:b/>
          <w:bCs/>
        </w:rPr>
        <w:t>A915008 Informatizacija Fonda za obnovu</w:t>
      </w:r>
    </w:p>
    <w:p w14:paraId="57B7231D" w14:textId="77777777" w:rsidR="008B4E7D" w:rsidRPr="008B4E7D" w:rsidRDefault="008B4E7D" w:rsidP="00600C7D">
      <w:pPr>
        <w:widowControl w:val="0"/>
        <w:autoSpaceDE w:val="0"/>
        <w:autoSpaceDN w:val="0"/>
        <w:ind w:right="238"/>
        <w:rPr>
          <w:b/>
          <w:bCs/>
        </w:rPr>
      </w:pPr>
    </w:p>
    <w:p w14:paraId="12926221" w14:textId="77777777" w:rsidR="008B4E7D" w:rsidRPr="008B4E7D" w:rsidRDefault="008B4E7D" w:rsidP="008B4E7D">
      <w:pPr>
        <w:spacing w:after="120"/>
        <w:jc w:val="both"/>
        <w:rPr>
          <w:u w:val="single"/>
        </w:rPr>
      </w:pPr>
      <w:r w:rsidRPr="008B4E7D">
        <w:rPr>
          <w:u w:val="single"/>
        </w:rPr>
        <w:t>Zakonske i druge pravne osnove</w:t>
      </w:r>
      <w:r w:rsidRPr="00F34949">
        <w:t>:</w:t>
      </w:r>
    </w:p>
    <w:p w14:paraId="079A0DA6" w14:textId="77777777" w:rsidR="0052063B" w:rsidRPr="00702153" w:rsidRDefault="0052063B" w:rsidP="00600C7D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702153">
        <w:rPr>
          <w:sz w:val="24"/>
          <w:szCs w:val="24"/>
        </w:rPr>
        <w:t>Ugovor između Republike Hrvatske, Grada Zagreba, Krapinsko-zagorske županije i Zagrebačke županije o osnivanju Fonda za obnovu Grada Zagreba, Krapinsko-zagorske županije i Zagrebačke županije od 29. listopada 2020. godine</w:t>
      </w:r>
    </w:p>
    <w:p w14:paraId="3C0A467D" w14:textId="77777777" w:rsidR="0052063B" w:rsidRDefault="0052063B" w:rsidP="00600C7D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702153">
        <w:rPr>
          <w:sz w:val="24"/>
          <w:szCs w:val="24"/>
        </w:rPr>
        <w:t>Statut Fonda za obnovu Grada Zagreba, Krapinsko-zagorske županije i Zagrebačke županije</w:t>
      </w:r>
    </w:p>
    <w:p w14:paraId="551FDE59" w14:textId="77777777" w:rsidR="008B4E7D" w:rsidRPr="00702153" w:rsidRDefault="008B4E7D" w:rsidP="008B4E7D">
      <w:pPr>
        <w:pStyle w:val="BodyText"/>
        <w:ind w:left="527" w:right="108"/>
        <w:jc w:val="both"/>
        <w:rPr>
          <w:sz w:val="24"/>
          <w:szCs w:val="24"/>
        </w:rPr>
      </w:pPr>
    </w:p>
    <w:p w14:paraId="30C69EBD" w14:textId="77777777" w:rsidR="008B4E7D" w:rsidRDefault="008B4E7D" w:rsidP="008B4E7D">
      <w:pPr>
        <w:spacing w:after="120"/>
        <w:jc w:val="both"/>
      </w:pPr>
      <w:r w:rsidRPr="008B4E7D">
        <w:rPr>
          <w:u w:val="single"/>
        </w:rPr>
        <w:t>Opis aktivnosti</w:t>
      </w:r>
      <w:r>
        <w:t>:</w:t>
      </w:r>
    </w:p>
    <w:p w14:paraId="16B7BF18" w14:textId="77777777" w:rsidR="0052063B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  <w:highlight w:val="yellow"/>
        </w:rPr>
      </w:pPr>
      <w:r w:rsidRPr="009D2490">
        <w:rPr>
          <w:rFonts w:eastAsia="Times New Roman"/>
        </w:rPr>
        <w:t xml:space="preserve">U okviru ove aktivnosti sredstva su planirana za troškove informatizacije </w:t>
      </w:r>
      <w:r>
        <w:rPr>
          <w:rFonts w:eastAsia="Times New Roman"/>
        </w:rPr>
        <w:t>sukladno</w:t>
      </w:r>
      <w:r w:rsidRPr="009D2490">
        <w:rPr>
          <w:rFonts w:eastAsia="Times New Roman"/>
        </w:rPr>
        <w:t xml:space="preserve"> potreb</w:t>
      </w:r>
      <w:r>
        <w:rPr>
          <w:rFonts w:eastAsia="Times New Roman"/>
        </w:rPr>
        <w:t>ama</w:t>
      </w:r>
      <w:r w:rsidRPr="009D2490">
        <w:rPr>
          <w:rFonts w:eastAsia="Times New Roman"/>
        </w:rPr>
        <w:t xml:space="preserve"> rada Fonda za obnovu</w:t>
      </w:r>
      <w:r>
        <w:rPr>
          <w:rFonts w:eastAsia="Times New Roman"/>
        </w:rPr>
        <w:t>, kao što su:</w:t>
      </w:r>
      <w:r w:rsidRPr="0076575C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rashodi za nabavu neproizvedene dugotrajne imovine (nabava licenci) i rashodi za nabavu proizvedene dugotrajne imovine (nabava računala i računalne opreme te ulaganja u računalne programe)</w:t>
      </w:r>
      <w:r w:rsidRPr="009D2490">
        <w:rPr>
          <w:rFonts w:eastAsia="Times New Roman"/>
        </w:rPr>
        <w:t>.</w:t>
      </w:r>
    </w:p>
    <w:p w14:paraId="222AAA8D" w14:textId="77777777" w:rsidR="0052063B" w:rsidRPr="005E50C5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</w:rPr>
      </w:pPr>
      <w:r w:rsidRPr="005E50C5">
        <w:rPr>
          <w:rFonts w:eastAsia="Times New Roman"/>
        </w:rPr>
        <w:t>Provedba navedenih aktivnosti financirati će se iz sljedećih izvora:</w:t>
      </w:r>
    </w:p>
    <w:p w14:paraId="59DDAADA" w14:textId="0838ABE4" w:rsidR="0052063B" w:rsidRPr="00913CFD" w:rsidRDefault="0052063B" w:rsidP="008B4E7D">
      <w:pPr>
        <w:widowControl w:val="0"/>
        <w:autoSpaceDE w:val="0"/>
        <w:autoSpaceDN w:val="0"/>
        <w:spacing w:after="120"/>
        <w:ind w:right="238"/>
        <w:jc w:val="both"/>
      </w:pPr>
      <w:r w:rsidRPr="002B6F86">
        <w:t xml:space="preserve"> - izvor 11 – Opći prihodi i primici (sredstva iz nadležnog proračuna koja se odnose na udio </w:t>
      </w:r>
      <w:r w:rsidRPr="00913CFD">
        <w:t>Republike Hrvatske kao suosnivača Fonda za obnovu) u iznosu od 314.155 EUR što predstavlja 80,02% planiranih rashoda za 2023., 132.059 EUR odnosno 80,05% za 2024. i 25.881 EUR odnosno 80,25% za 2025. godinu;</w:t>
      </w:r>
    </w:p>
    <w:p w14:paraId="27F05FEA" w14:textId="423243D7" w:rsidR="0052063B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  <w:color w:val="000000"/>
          <w:lang w:eastAsia="hr-HR"/>
        </w:rPr>
      </w:pPr>
      <w:r w:rsidRPr="00913CFD">
        <w:t xml:space="preserve">- </w:t>
      </w:r>
      <w:r w:rsidRPr="00913CFD">
        <w:rPr>
          <w:rFonts w:eastAsia="Times New Roman"/>
          <w:lang w:eastAsia="hr-HR"/>
        </w:rPr>
        <w:t xml:space="preserve">izvor 52 – Ostale pomoći i darovnice (sredstva iz JLP(R)S koja se odnose na udio suosnivača Fonda za obnovu) u iznosu od 78.439 EUR što predstavlja 19,98% planiranih rashoda za 2023., 32.915 EUR odnosno 19,95% za 2024. i 6.371 EUR 19,75% </w:t>
      </w:r>
      <w:r w:rsidRPr="00B171D5">
        <w:rPr>
          <w:rFonts w:eastAsia="Times New Roman"/>
          <w:color w:val="000000"/>
          <w:lang w:eastAsia="hr-HR"/>
        </w:rPr>
        <w:t>za 2025. godinu</w:t>
      </w:r>
      <w:r>
        <w:rPr>
          <w:rFonts w:eastAsia="Times New Roman"/>
          <w:color w:val="000000"/>
          <w:lang w:eastAsia="hr-HR"/>
        </w:rPr>
        <w:t>.</w:t>
      </w:r>
    </w:p>
    <w:p w14:paraId="4B9C4B01" w14:textId="77777777" w:rsidR="0052063B" w:rsidRDefault="0052063B" w:rsidP="00600C7D">
      <w:pPr>
        <w:widowControl w:val="0"/>
        <w:autoSpaceDE w:val="0"/>
        <w:autoSpaceDN w:val="0"/>
        <w:ind w:right="238"/>
        <w:jc w:val="both"/>
      </w:pPr>
      <w:r>
        <w:t xml:space="preserve">Navedeno je prikazano </w:t>
      </w:r>
      <w:r>
        <w:rPr>
          <w:rFonts w:eastAsia="Times New Roman"/>
          <w:lang w:eastAsia="hr-HR"/>
        </w:rPr>
        <w:t>u posebnom dijelu plana rashoda i izdataka za 2023. godinu s projekcijama za 2024. i 2025. godinu (Prilog 7.).</w:t>
      </w:r>
    </w:p>
    <w:p w14:paraId="45F64BA4" w14:textId="77777777" w:rsidR="0052063B" w:rsidRPr="00F07EE1" w:rsidRDefault="0052063B" w:rsidP="00600C7D">
      <w:pPr>
        <w:widowControl w:val="0"/>
        <w:autoSpaceDE w:val="0"/>
        <w:autoSpaceDN w:val="0"/>
        <w:ind w:right="238"/>
        <w:rPr>
          <w:rFonts w:eastAsia="Times New Roman"/>
          <w:b/>
          <w:spacing w:val="16"/>
          <w:highlight w:val="yellow"/>
        </w:rPr>
      </w:pPr>
    </w:p>
    <w:p w14:paraId="14C0AA19" w14:textId="79607A59" w:rsidR="0052063B" w:rsidRDefault="008B4E7D" w:rsidP="008B4E7D">
      <w:pPr>
        <w:widowControl w:val="0"/>
        <w:autoSpaceDE w:val="0"/>
        <w:autoSpaceDN w:val="0"/>
        <w:ind w:right="238"/>
        <w:rPr>
          <w:b/>
          <w:bCs/>
        </w:rPr>
      </w:pPr>
      <w:r w:rsidRPr="00B71E88">
        <w:rPr>
          <w:b/>
          <w:bCs/>
        </w:rPr>
        <w:t xml:space="preserve">Obrazloženje </w:t>
      </w:r>
      <w:r>
        <w:rPr>
          <w:b/>
          <w:bCs/>
        </w:rPr>
        <w:t xml:space="preserve">aktivnosti - </w:t>
      </w:r>
      <w:r w:rsidR="0052063B" w:rsidRPr="008B4E7D">
        <w:rPr>
          <w:b/>
          <w:bCs/>
        </w:rPr>
        <w:t xml:space="preserve">A915021 Obnova zgrada oštećenih u potresu s energetskom obnovom </w:t>
      </w:r>
      <w:r>
        <w:rPr>
          <w:b/>
          <w:bCs/>
        </w:rPr>
        <w:t>–</w:t>
      </w:r>
      <w:r w:rsidR="0052063B" w:rsidRPr="008B4E7D">
        <w:rPr>
          <w:b/>
          <w:bCs/>
        </w:rPr>
        <w:t xml:space="preserve"> NPOO</w:t>
      </w:r>
    </w:p>
    <w:p w14:paraId="0F82010B" w14:textId="77777777" w:rsidR="008B4E7D" w:rsidRPr="008B4E7D" w:rsidRDefault="008B4E7D" w:rsidP="008B4E7D">
      <w:pPr>
        <w:widowControl w:val="0"/>
        <w:autoSpaceDE w:val="0"/>
        <w:autoSpaceDN w:val="0"/>
        <w:ind w:right="238"/>
        <w:rPr>
          <w:b/>
          <w:bCs/>
        </w:rPr>
      </w:pPr>
    </w:p>
    <w:p w14:paraId="458A68AE" w14:textId="77777777" w:rsidR="008B4E7D" w:rsidRPr="008B4E7D" w:rsidRDefault="008B4E7D" w:rsidP="008B4E7D">
      <w:pPr>
        <w:spacing w:after="120"/>
        <w:jc w:val="both"/>
        <w:rPr>
          <w:u w:val="single"/>
        </w:rPr>
      </w:pPr>
      <w:r w:rsidRPr="008B4E7D">
        <w:rPr>
          <w:u w:val="single"/>
        </w:rPr>
        <w:t>Zakonske i druge pravne osnove</w:t>
      </w:r>
      <w:r w:rsidRPr="00F34949">
        <w:t>:</w:t>
      </w:r>
    </w:p>
    <w:p w14:paraId="40B51946" w14:textId="77777777" w:rsidR="0052063B" w:rsidRDefault="0052063B" w:rsidP="00600C7D">
      <w:pPr>
        <w:pStyle w:val="BodyText"/>
        <w:numPr>
          <w:ilvl w:val="0"/>
          <w:numId w:val="2"/>
        </w:numPr>
        <w:ind w:left="527" w:right="108" w:hanging="357"/>
        <w:jc w:val="both"/>
        <w:rPr>
          <w:sz w:val="24"/>
          <w:szCs w:val="24"/>
        </w:rPr>
      </w:pPr>
      <w:r w:rsidRPr="00C75BCF">
        <w:rPr>
          <w:sz w:val="24"/>
          <w:szCs w:val="24"/>
        </w:rPr>
        <w:t>Odluka o sustavu upravljanja i praćenju provedbe aktivnosti u okviru Nacionalnog plana oporavka i otpornosti 2021. – 2026.</w:t>
      </w:r>
    </w:p>
    <w:p w14:paraId="26E0E324" w14:textId="77777777" w:rsidR="008B4E7D" w:rsidRDefault="008B4E7D" w:rsidP="008B4E7D">
      <w:pPr>
        <w:pStyle w:val="BodyText"/>
        <w:ind w:left="527" w:right="108"/>
        <w:jc w:val="both"/>
        <w:rPr>
          <w:sz w:val="24"/>
          <w:szCs w:val="24"/>
        </w:rPr>
      </w:pPr>
    </w:p>
    <w:p w14:paraId="35925495" w14:textId="77777777" w:rsidR="008B4E7D" w:rsidRDefault="008B4E7D" w:rsidP="008B4E7D">
      <w:pPr>
        <w:spacing w:after="120"/>
        <w:jc w:val="both"/>
      </w:pPr>
      <w:r w:rsidRPr="008B4E7D">
        <w:rPr>
          <w:u w:val="single"/>
        </w:rPr>
        <w:t>Opis aktivnosti</w:t>
      </w:r>
      <w:r>
        <w:t>:</w:t>
      </w:r>
    </w:p>
    <w:p w14:paraId="14660A9E" w14:textId="77777777" w:rsidR="0052063B" w:rsidRPr="004611E7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</w:rPr>
      </w:pPr>
      <w:r w:rsidRPr="004611E7">
        <w:t xml:space="preserve">U </w:t>
      </w:r>
      <w:r w:rsidRPr="004611E7">
        <w:rPr>
          <w:rFonts w:eastAsia="Times New Roman"/>
        </w:rPr>
        <w:t xml:space="preserve">okviru ove aktivnosti sredstva su planirana za obnovu </w:t>
      </w:r>
      <w:r w:rsidRPr="006E2A5B">
        <w:t>obiteljskih kuća te višestambenih</w:t>
      </w:r>
      <w:r>
        <w:t xml:space="preserve">, </w:t>
      </w:r>
      <w:r w:rsidRPr="006E2A5B">
        <w:t xml:space="preserve">stambeno-poslovnih </w:t>
      </w:r>
      <w:r>
        <w:t xml:space="preserve">i poslovnih </w:t>
      </w:r>
      <w:r w:rsidRPr="006E2A5B">
        <w:t>zgrada</w:t>
      </w:r>
      <w:r w:rsidRPr="004611E7">
        <w:rPr>
          <w:rFonts w:eastAsia="Times New Roman"/>
        </w:rPr>
        <w:t xml:space="preserve"> oštećenih potresom koje uključuju, pored konstrukcijske obnove, energetsku obnovu istih, temeljem komponente C6.1. R1-I2 Obnova zgrada oštećenih u potresu s energetskom obnovom iz Odluke o sustavu upravljanja i praćenju provedbe aktivnosti u okviru Nacionalnog plana oporavka i otpornosti 2021. – </w:t>
      </w:r>
      <w:r w:rsidRPr="004611E7">
        <w:rPr>
          <w:rFonts w:eastAsia="Times New Roman"/>
        </w:rPr>
        <w:lastRenderedPageBreak/>
        <w:t xml:space="preserve">2026.. Temeljem navedene komponente, kroz ovu aktivnost sredstva su također planirana i za digitalizaciju procesa obnove. </w:t>
      </w:r>
    </w:p>
    <w:p w14:paraId="29B20DF7" w14:textId="141EDDB0" w:rsidR="0052063B" w:rsidRDefault="0052063B" w:rsidP="008B4E7D">
      <w:pPr>
        <w:widowControl w:val="0"/>
        <w:autoSpaceDE w:val="0"/>
        <w:autoSpaceDN w:val="0"/>
        <w:spacing w:after="120"/>
        <w:ind w:right="238"/>
        <w:jc w:val="both"/>
        <w:rPr>
          <w:rFonts w:eastAsia="Times New Roman"/>
        </w:rPr>
      </w:pPr>
      <w:r w:rsidRPr="004611E7">
        <w:rPr>
          <w:rFonts w:eastAsia="Times New Roman"/>
        </w:rPr>
        <w:t xml:space="preserve">Provedba navedenih aktivnosti financirati će se 100% iz izvora 581 – Mehanizam za oporavak i otpornost u iznosu od </w:t>
      </w:r>
      <w:r>
        <w:rPr>
          <w:rFonts w:eastAsia="Times New Roman"/>
        </w:rPr>
        <w:t xml:space="preserve">6.370.695 EUR za </w:t>
      </w:r>
      <w:r w:rsidRPr="004611E7">
        <w:rPr>
          <w:rFonts w:eastAsia="Times New Roman"/>
        </w:rPr>
        <w:t>202</w:t>
      </w:r>
      <w:r>
        <w:rPr>
          <w:rFonts w:eastAsia="Times New Roman"/>
        </w:rPr>
        <w:t>3</w:t>
      </w:r>
      <w:r w:rsidRPr="004611E7">
        <w:rPr>
          <w:rFonts w:eastAsia="Times New Roman"/>
        </w:rPr>
        <w:t xml:space="preserve">., </w:t>
      </w:r>
      <w:r>
        <w:rPr>
          <w:rFonts w:eastAsia="Times New Roman"/>
        </w:rPr>
        <w:t>7.963.369 EUR za</w:t>
      </w:r>
      <w:r w:rsidRPr="004611E7">
        <w:rPr>
          <w:rFonts w:eastAsia="Times New Roman"/>
        </w:rPr>
        <w:t xml:space="preserve"> 202</w:t>
      </w:r>
      <w:r>
        <w:rPr>
          <w:rFonts w:eastAsia="Times New Roman"/>
        </w:rPr>
        <w:t>4</w:t>
      </w:r>
      <w:r w:rsidRPr="004611E7">
        <w:rPr>
          <w:rFonts w:eastAsia="Times New Roman"/>
        </w:rPr>
        <w:t xml:space="preserve">. i </w:t>
      </w:r>
      <w:r>
        <w:rPr>
          <w:rFonts w:eastAsia="Times New Roman"/>
        </w:rPr>
        <w:t>6.967.947 EUR za</w:t>
      </w:r>
      <w:r w:rsidRPr="004611E7">
        <w:rPr>
          <w:rFonts w:eastAsia="Times New Roman"/>
        </w:rPr>
        <w:t xml:space="preserve"> 202</w:t>
      </w:r>
      <w:r>
        <w:rPr>
          <w:rFonts w:eastAsia="Times New Roman"/>
        </w:rPr>
        <w:t>5</w:t>
      </w:r>
      <w:r w:rsidRPr="004611E7">
        <w:rPr>
          <w:rFonts w:eastAsia="Times New Roman"/>
        </w:rPr>
        <w:t>. godin</w:t>
      </w:r>
      <w:r>
        <w:rPr>
          <w:rFonts w:eastAsia="Times New Roman"/>
        </w:rPr>
        <w:t>u</w:t>
      </w:r>
      <w:r w:rsidRPr="004611E7">
        <w:rPr>
          <w:rFonts w:eastAsia="Times New Roman"/>
        </w:rPr>
        <w:t>.</w:t>
      </w:r>
    </w:p>
    <w:p w14:paraId="2ECE89E8" w14:textId="77777777" w:rsidR="0052063B" w:rsidRDefault="0052063B" w:rsidP="00600C7D">
      <w:pPr>
        <w:widowControl w:val="0"/>
        <w:autoSpaceDE w:val="0"/>
        <w:autoSpaceDN w:val="0"/>
        <w:ind w:right="238"/>
        <w:jc w:val="both"/>
        <w:rPr>
          <w:rFonts w:eastAsia="Times New Roman"/>
          <w:lang w:eastAsia="hr-HR"/>
        </w:rPr>
      </w:pPr>
      <w:r>
        <w:t xml:space="preserve">Navedeno je prikazano </w:t>
      </w:r>
      <w:r>
        <w:rPr>
          <w:rFonts w:eastAsia="Times New Roman"/>
          <w:lang w:eastAsia="hr-HR"/>
        </w:rPr>
        <w:t>u posebnom dijelu plana rashoda i izdataka za 2023. godinu s projekcijama za 2024. i 2025. godinu (Prilog 7.).</w:t>
      </w:r>
    </w:p>
    <w:p w14:paraId="3BCD559F" w14:textId="77777777" w:rsidR="008B4E7D" w:rsidRPr="004611E7" w:rsidRDefault="008B4E7D" w:rsidP="00600C7D">
      <w:pPr>
        <w:widowControl w:val="0"/>
        <w:autoSpaceDE w:val="0"/>
        <w:autoSpaceDN w:val="0"/>
        <w:ind w:right="238"/>
        <w:jc w:val="both"/>
        <w:rPr>
          <w:rFonts w:eastAsia="Times New Roman"/>
        </w:rPr>
      </w:pPr>
    </w:p>
    <w:p w14:paraId="448D6691" w14:textId="77777777" w:rsidR="0052063B" w:rsidRPr="008B4E7D" w:rsidRDefault="0052063B" w:rsidP="008B4E7D">
      <w:pPr>
        <w:spacing w:after="120"/>
        <w:jc w:val="both"/>
        <w:rPr>
          <w:u w:val="single"/>
        </w:rPr>
      </w:pPr>
      <w:r w:rsidRPr="008B4E7D">
        <w:rPr>
          <w:u w:val="single"/>
        </w:rPr>
        <w:t>Pokazatelj rezultata:</w:t>
      </w:r>
    </w:p>
    <w:p w14:paraId="7FA4A7FB" w14:textId="77777777" w:rsidR="0052063B" w:rsidRDefault="0052063B" w:rsidP="00600C7D">
      <w:pPr>
        <w:pStyle w:val="BodyText"/>
        <w:ind w:left="74"/>
        <w:jc w:val="both"/>
        <w:rPr>
          <w:sz w:val="24"/>
          <w:szCs w:val="24"/>
        </w:rPr>
      </w:pPr>
      <w:r w:rsidRPr="00B20285">
        <w:rPr>
          <w:sz w:val="24"/>
          <w:szCs w:val="24"/>
        </w:rPr>
        <w:t>Postotak provedenih zahtjeva za energetsku obnovu zgrada zaprimljenih na temelju javnog poziva Fonda za obnovu</w:t>
      </w:r>
    </w:p>
    <w:p w14:paraId="0C23C7FC" w14:textId="77777777" w:rsidR="008B4E7D" w:rsidRDefault="008B4E7D" w:rsidP="00600C7D">
      <w:pPr>
        <w:pStyle w:val="BodyText"/>
        <w:ind w:left="74"/>
        <w:jc w:val="both"/>
        <w:rPr>
          <w:sz w:val="24"/>
          <w:szCs w:val="24"/>
        </w:rPr>
      </w:pPr>
    </w:p>
    <w:p w14:paraId="6ACD4A2F" w14:textId="77777777" w:rsidR="0052063B" w:rsidRPr="008B4E7D" w:rsidRDefault="0052063B" w:rsidP="008B4E7D">
      <w:pPr>
        <w:spacing w:after="120"/>
        <w:jc w:val="both"/>
        <w:rPr>
          <w:u w:val="single"/>
        </w:rPr>
      </w:pPr>
      <w:r w:rsidRPr="008B4E7D">
        <w:rPr>
          <w:u w:val="single"/>
        </w:rPr>
        <w:t>Definicija pokazatelja rezultata:</w:t>
      </w:r>
    </w:p>
    <w:p w14:paraId="60A3CC9B" w14:textId="77777777" w:rsidR="0052063B" w:rsidRPr="008472B8" w:rsidRDefault="0052063B" w:rsidP="00600C7D">
      <w:pPr>
        <w:pStyle w:val="BodyText"/>
        <w:ind w:left="74"/>
        <w:jc w:val="both"/>
        <w:rPr>
          <w:sz w:val="24"/>
          <w:szCs w:val="24"/>
        </w:rPr>
      </w:pPr>
      <w:r w:rsidRPr="00B20285">
        <w:rPr>
          <w:sz w:val="24"/>
          <w:szCs w:val="24"/>
        </w:rPr>
        <w:t>Postotak provedenih zahtjeva za energetsku obnovu zgrada zaprimljenih na temelju javnog poziva Fonda za obnovu</w:t>
      </w:r>
      <w:r w:rsidRPr="008A723A">
        <w:rPr>
          <w:sz w:val="24"/>
          <w:szCs w:val="24"/>
        </w:rPr>
        <w:t xml:space="preserve"> doprinijeti </w:t>
      </w:r>
      <w:r w:rsidRPr="00F71B4B">
        <w:rPr>
          <w:sz w:val="24"/>
          <w:szCs w:val="24"/>
        </w:rPr>
        <w:t>će većem broju energetski obnovljenih zgrada, a što će u konačnici utjecati na smanjenje potrošnje energije</w:t>
      </w:r>
      <w:r w:rsidRPr="008A723A">
        <w:rPr>
          <w:sz w:val="24"/>
          <w:szCs w:val="24"/>
        </w:rPr>
        <w:t>.</w:t>
      </w:r>
    </w:p>
    <w:p w14:paraId="06ED46EE" w14:textId="77777777" w:rsidR="0052063B" w:rsidRPr="008B4E7D" w:rsidRDefault="0052063B" w:rsidP="008B4E7D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8B4E7D">
        <w:rPr>
          <w:sz w:val="24"/>
          <w:szCs w:val="24"/>
        </w:rPr>
        <w:t>Jedinica: %</w:t>
      </w:r>
    </w:p>
    <w:p w14:paraId="57C6CC29" w14:textId="77777777" w:rsidR="0052063B" w:rsidRPr="008B4E7D" w:rsidRDefault="0052063B" w:rsidP="008B4E7D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8B4E7D">
        <w:rPr>
          <w:sz w:val="24"/>
          <w:szCs w:val="24"/>
        </w:rPr>
        <w:t>Polazna vrijednost:</w:t>
      </w:r>
      <w:r w:rsidRPr="005C508F">
        <w:rPr>
          <w:sz w:val="24"/>
          <w:szCs w:val="24"/>
        </w:rPr>
        <w:t xml:space="preserve"> </w:t>
      </w:r>
      <w:r w:rsidRPr="008B4E7D">
        <w:rPr>
          <w:sz w:val="24"/>
          <w:szCs w:val="24"/>
        </w:rPr>
        <w:t>0%</w:t>
      </w:r>
    </w:p>
    <w:p w14:paraId="0093277A" w14:textId="77777777" w:rsidR="0052063B" w:rsidRPr="008B4E7D" w:rsidRDefault="0052063B" w:rsidP="008B4E7D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8B4E7D">
        <w:rPr>
          <w:sz w:val="24"/>
          <w:szCs w:val="24"/>
        </w:rPr>
        <w:t>Izvor podataka: Fond za obnovu</w:t>
      </w:r>
    </w:p>
    <w:p w14:paraId="285E19FC" w14:textId="77777777" w:rsidR="0052063B" w:rsidRPr="008B4E7D" w:rsidRDefault="0052063B" w:rsidP="008B4E7D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8B4E7D">
        <w:rPr>
          <w:sz w:val="24"/>
          <w:szCs w:val="24"/>
        </w:rPr>
        <w:t>Ciljana vrijednost (2023.): 85%</w:t>
      </w:r>
    </w:p>
    <w:p w14:paraId="3D17A7E6" w14:textId="77777777" w:rsidR="0052063B" w:rsidRPr="008B4E7D" w:rsidRDefault="0052063B" w:rsidP="008B4E7D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8B4E7D">
        <w:rPr>
          <w:sz w:val="24"/>
          <w:szCs w:val="24"/>
        </w:rPr>
        <w:t>Ciljana vrijednost (2024.): 90%</w:t>
      </w:r>
    </w:p>
    <w:p w14:paraId="4F90EF3E" w14:textId="77777777" w:rsidR="0052063B" w:rsidRPr="008B4E7D" w:rsidRDefault="0052063B" w:rsidP="008B4E7D">
      <w:pPr>
        <w:pStyle w:val="BodyText"/>
        <w:numPr>
          <w:ilvl w:val="0"/>
          <w:numId w:val="1"/>
        </w:numPr>
        <w:spacing w:before="7"/>
        <w:rPr>
          <w:sz w:val="24"/>
          <w:szCs w:val="24"/>
        </w:rPr>
      </w:pPr>
      <w:r w:rsidRPr="008B4E7D">
        <w:rPr>
          <w:sz w:val="24"/>
          <w:szCs w:val="24"/>
        </w:rPr>
        <w:t>Ciljana vrijednost (2025.): 95%</w:t>
      </w:r>
    </w:p>
    <w:p w14:paraId="06370707" w14:textId="77777777" w:rsidR="0052063B" w:rsidRDefault="0052063B" w:rsidP="0052063B"/>
    <w:p w14:paraId="4F60BEE4" w14:textId="77777777" w:rsidR="004172ED" w:rsidRPr="00E152B1" w:rsidRDefault="004172ED" w:rsidP="0052063B"/>
    <w:p w14:paraId="7F30CB97" w14:textId="77777777" w:rsidR="0052063B" w:rsidRDefault="0052063B" w:rsidP="009E44AE">
      <w:pPr>
        <w:jc w:val="both"/>
        <w:rPr>
          <w:rFonts w:eastAsia="Calibri"/>
        </w:rPr>
      </w:pPr>
    </w:p>
    <w:p w14:paraId="1ADDFCB6" w14:textId="77777777" w:rsidR="0052063B" w:rsidRDefault="0052063B" w:rsidP="009E44AE">
      <w:pPr>
        <w:jc w:val="both"/>
        <w:rPr>
          <w:rFonts w:eastAsia="Calibri"/>
        </w:rPr>
      </w:pPr>
    </w:p>
    <w:p w14:paraId="688577EA" w14:textId="77777777" w:rsidR="0052063B" w:rsidRDefault="0052063B" w:rsidP="009E44AE">
      <w:pPr>
        <w:jc w:val="both"/>
        <w:rPr>
          <w:rFonts w:eastAsia="Calibri"/>
        </w:rPr>
      </w:pPr>
    </w:p>
    <w:p w14:paraId="4FC36B9C" w14:textId="51349002" w:rsidR="009E44AE" w:rsidRDefault="009E44AE" w:rsidP="009E44AE">
      <w:pPr>
        <w:jc w:val="both"/>
        <w:rPr>
          <w:rFonts w:eastAsia="Calibri"/>
        </w:rPr>
      </w:pPr>
      <w:r w:rsidRPr="007A3FD7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76E4C1" wp14:editId="1EA5E475">
                <wp:simplePos x="0" y="0"/>
                <wp:positionH relativeFrom="margin">
                  <wp:posOffset>3817620</wp:posOffset>
                </wp:positionH>
                <wp:positionV relativeFrom="paragraph">
                  <wp:posOffset>42545</wp:posOffset>
                </wp:positionV>
                <wp:extent cx="2301240" cy="93726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086F6" w14:textId="77777777" w:rsidR="00904BA1" w:rsidRDefault="009E44AE" w:rsidP="00904BA1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 w:rsidRPr="007A3FD7">
                              <w:rPr>
                                <w:rFonts w:eastAsia="Calibri"/>
                                <w:b/>
                                <w:bCs/>
                              </w:rPr>
                              <w:t>RAVNATELJ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ICA</w:t>
                            </w:r>
                          </w:p>
                          <w:p w14:paraId="024A9C56" w14:textId="77777777" w:rsidR="00904BA1" w:rsidRDefault="00904BA1" w:rsidP="00904BA1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</w:p>
                          <w:p w14:paraId="054D4076" w14:textId="77777777" w:rsidR="00904BA1" w:rsidRDefault="00904BA1" w:rsidP="00904BA1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</w:p>
                          <w:p w14:paraId="0C718B34" w14:textId="035C4199" w:rsidR="009E44AE" w:rsidRPr="007A3FD7" w:rsidRDefault="009E44AE" w:rsidP="00904BA1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</w:rPr>
                              <w:t>Snežana Penović</w:t>
                            </w:r>
                          </w:p>
                          <w:p w14:paraId="7AF60920" w14:textId="77777777" w:rsidR="009E44AE" w:rsidRPr="007A3FD7" w:rsidRDefault="009E44AE" w:rsidP="00904BA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E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3.35pt;width:181.2pt;height:7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" stroked="f">
                <v:textbox>
                  <w:txbxContent>
                    <w:p w14:paraId="356086F6" w14:textId="77777777" w:rsidR="00904BA1" w:rsidRDefault="009E44AE" w:rsidP="00904BA1">
                      <w:pPr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  <w:r w:rsidRPr="007A3FD7">
                        <w:rPr>
                          <w:rFonts w:eastAsia="Calibri"/>
                          <w:b/>
                          <w:bCs/>
                        </w:rPr>
                        <w:t>RAVNATELJ</w:t>
                      </w:r>
                      <w:r>
                        <w:rPr>
                          <w:rFonts w:eastAsia="Calibri"/>
                          <w:b/>
                          <w:bCs/>
                        </w:rPr>
                        <w:t>ICA</w:t>
                      </w:r>
                    </w:p>
                    <w:p w14:paraId="024A9C56" w14:textId="77777777" w:rsidR="00904BA1" w:rsidRDefault="00904BA1" w:rsidP="00904BA1">
                      <w:pPr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</w:p>
                    <w:p w14:paraId="054D4076" w14:textId="77777777" w:rsidR="00904BA1" w:rsidRDefault="00904BA1" w:rsidP="00904BA1">
                      <w:pPr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</w:p>
                    <w:p w14:paraId="0C718B34" w14:textId="035C4199" w:rsidR="009E44AE" w:rsidRPr="007A3FD7" w:rsidRDefault="009E44AE" w:rsidP="00904BA1">
                      <w:pPr>
                        <w:jc w:val="center"/>
                        <w:rPr>
                          <w:rFonts w:eastAsia="Calibri"/>
                          <w:b/>
                          <w:bCs/>
                        </w:rPr>
                      </w:pPr>
                      <w:r>
                        <w:rPr>
                          <w:rFonts w:eastAsia="Calibri"/>
                          <w:b/>
                          <w:bCs/>
                        </w:rPr>
                        <w:t>Snežana Penović</w:t>
                      </w:r>
                    </w:p>
                    <w:p w14:paraId="7AF60920" w14:textId="77777777" w:rsidR="009E44AE" w:rsidRPr="007A3FD7" w:rsidRDefault="009E44AE" w:rsidP="00904BA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0414B8" w14:textId="77777777" w:rsidR="009E44AE" w:rsidRDefault="009E44AE" w:rsidP="009E44AE">
      <w:pPr>
        <w:jc w:val="both"/>
        <w:rPr>
          <w:rFonts w:eastAsia="Calibri"/>
        </w:rPr>
      </w:pPr>
    </w:p>
    <w:p w14:paraId="129B908B" w14:textId="77777777" w:rsidR="009E44AE" w:rsidRDefault="009E44AE" w:rsidP="009E44AE">
      <w:pPr>
        <w:rPr>
          <w:rFonts w:eastAsia="Calibri"/>
        </w:rPr>
      </w:pPr>
    </w:p>
    <w:p w14:paraId="7504D2B9" w14:textId="77777777" w:rsidR="009E44AE" w:rsidRDefault="009E44AE" w:rsidP="009E44AE">
      <w:pPr>
        <w:rPr>
          <w:rFonts w:eastAsia="Calibri"/>
        </w:rPr>
      </w:pPr>
    </w:p>
    <w:p w14:paraId="5515062E" w14:textId="77777777" w:rsidR="009E44AE" w:rsidRDefault="009E44AE" w:rsidP="009E44AE">
      <w:pPr>
        <w:rPr>
          <w:rFonts w:eastAsia="Calibri"/>
        </w:rPr>
      </w:pPr>
    </w:p>
    <w:p w14:paraId="229B0009" w14:textId="77777777" w:rsidR="009E44AE" w:rsidRDefault="009E44AE" w:rsidP="009E44AE">
      <w:pPr>
        <w:rPr>
          <w:rFonts w:eastAsia="Calibri"/>
        </w:rPr>
      </w:pPr>
    </w:p>
    <w:p w14:paraId="2F5D0D45" w14:textId="77777777" w:rsidR="009E44AE" w:rsidRDefault="009E44AE" w:rsidP="009E44AE">
      <w:pPr>
        <w:rPr>
          <w:rFonts w:eastAsia="Calibri"/>
        </w:rPr>
      </w:pPr>
    </w:p>
    <w:p w14:paraId="1FD2EC28" w14:textId="77777777" w:rsidR="009E44AE" w:rsidRDefault="009E44AE" w:rsidP="009E44AE">
      <w:pPr>
        <w:rPr>
          <w:rFonts w:eastAsia="Calibri"/>
        </w:rPr>
      </w:pPr>
    </w:p>
    <w:p w14:paraId="79BA7712" w14:textId="77777777" w:rsidR="009E44AE" w:rsidRDefault="009E44AE" w:rsidP="009E44AE">
      <w:pPr>
        <w:rPr>
          <w:rFonts w:eastAsia="Calibri"/>
        </w:rPr>
      </w:pPr>
    </w:p>
    <w:p w14:paraId="1E350B1A" w14:textId="77777777" w:rsidR="00A32CFC" w:rsidRPr="00E152B1" w:rsidRDefault="00A32CFC" w:rsidP="00DA2E87">
      <w:pPr>
        <w:pStyle w:val="BodyText"/>
        <w:spacing w:before="7"/>
        <w:jc w:val="both"/>
      </w:pPr>
    </w:p>
    <w:sectPr w:rsidR="00A32CFC" w:rsidRPr="00E152B1" w:rsidSect="004D032D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48AB" w14:textId="77777777" w:rsidR="0080600B" w:rsidRDefault="0080600B" w:rsidP="00700A5C">
      <w:r>
        <w:separator/>
      </w:r>
    </w:p>
  </w:endnote>
  <w:endnote w:type="continuationSeparator" w:id="0">
    <w:p w14:paraId="3913F0E6" w14:textId="77777777" w:rsidR="0080600B" w:rsidRDefault="0080600B" w:rsidP="00700A5C">
      <w:r>
        <w:continuationSeparator/>
      </w:r>
    </w:p>
  </w:endnote>
  <w:endnote w:type="continuationNotice" w:id="1">
    <w:p w14:paraId="17E24B9F" w14:textId="77777777" w:rsidR="0080600B" w:rsidRDefault="00806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42063"/>
      <w:docPartObj>
        <w:docPartGallery w:val="Page Numbers (Bottom of Page)"/>
        <w:docPartUnique/>
      </w:docPartObj>
    </w:sdtPr>
    <w:sdtEndPr/>
    <w:sdtContent>
      <w:p w14:paraId="5E68C1D6" w14:textId="70AA3F6D" w:rsidR="00700A5C" w:rsidRDefault="00700A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2C9D8E" w14:textId="44A7B3D1" w:rsidR="00790FE2" w:rsidRDefault="00790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DFF1" w14:textId="77777777" w:rsidR="0080600B" w:rsidRDefault="0080600B" w:rsidP="00700A5C">
      <w:r>
        <w:separator/>
      </w:r>
    </w:p>
  </w:footnote>
  <w:footnote w:type="continuationSeparator" w:id="0">
    <w:p w14:paraId="0B834F31" w14:textId="77777777" w:rsidR="0080600B" w:rsidRDefault="0080600B" w:rsidP="00700A5C">
      <w:r>
        <w:continuationSeparator/>
      </w:r>
    </w:p>
  </w:footnote>
  <w:footnote w:type="continuationNotice" w:id="1">
    <w:p w14:paraId="579010E8" w14:textId="77777777" w:rsidR="0080600B" w:rsidRDefault="00806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43A9"/>
    <w:multiLevelType w:val="hybridMultilevel"/>
    <w:tmpl w:val="FCA84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1797"/>
    <w:multiLevelType w:val="hybridMultilevel"/>
    <w:tmpl w:val="D2D0E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22F5"/>
    <w:multiLevelType w:val="hybridMultilevel"/>
    <w:tmpl w:val="0F104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8A"/>
    <w:multiLevelType w:val="hybridMultilevel"/>
    <w:tmpl w:val="B374E1A8"/>
    <w:lvl w:ilvl="0" w:tplc="CE3C876C">
      <w:start w:val="5"/>
      <w:numFmt w:val="bullet"/>
      <w:lvlText w:val="-"/>
      <w:lvlJc w:val="left"/>
      <w:pPr>
        <w:ind w:left="17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4" w15:restartNumberingAfterBreak="0">
    <w:nsid w:val="1E7368FE"/>
    <w:multiLevelType w:val="hybridMultilevel"/>
    <w:tmpl w:val="35A69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C041A"/>
    <w:multiLevelType w:val="hybridMultilevel"/>
    <w:tmpl w:val="9F423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8F4"/>
    <w:multiLevelType w:val="hybridMultilevel"/>
    <w:tmpl w:val="FB7C90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1093"/>
    <w:multiLevelType w:val="hybridMultilevel"/>
    <w:tmpl w:val="2A62384C"/>
    <w:lvl w:ilvl="0" w:tplc="0742DA0A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8" w15:restartNumberingAfterBreak="0">
    <w:nsid w:val="3C473F2F"/>
    <w:multiLevelType w:val="hybridMultilevel"/>
    <w:tmpl w:val="7CBA59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D36FB"/>
    <w:multiLevelType w:val="hybridMultilevel"/>
    <w:tmpl w:val="24229C86"/>
    <w:lvl w:ilvl="0" w:tplc="1F70646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BC0958"/>
    <w:multiLevelType w:val="hybridMultilevel"/>
    <w:tmpl w:val="40EE7636"/>
    <w:lvl w:ilvl="0" w:tplc="B54E1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45E02"/>
    <w:multiLevelType w:val="hybridMultilevel"/>
    <w:tmpl w:val="593A6A1A"/>
    <w:lvl w:ilvl="0" w:tplc="F98C34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711E8"/>
    <w:multiLevelType w:val="hybridMultilevel"/>
    <w:tmpl w:val="F7CCE3A2"/>
    <w:lvl w:ilvl="0" w:tplc="216EDE9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2942DD2"/>
    <w:multiLevelType w:val="hybridMultilevel"/>
    <w:tmpl w:val="76EA4C7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9729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7CA17F7"/>
    <w:multiLevelType w:val="hybridMultilevel"/>
    <w:tmpl w:val="A4A005F6"/>
    <w:lvl w:ilvl="0" w:tplc="D534CB3E">
      <w:start w:val="7635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640A2EC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57D3939"/>
    <w:multiLevelType w:val="hybridMultilevel"/>
    <w:tmpl w:val="D6E80564"/>
    <w:lvl w:ilvl="0" w:tplc="D9D43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1780B"/>
    <w:multiLevelType w:val="hybridMultilevel"/>
    <w:tmpl w:val="6DA4A226"/>
    <w:lvl w:ilvl="0" w:tplc="F87A0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44569"/>
    <w:multiLevelType w:val="hybridMultilevel"/>
    <w:tmpl w:val="B4C6B1D0"/>
    <w:lvl w:ilvl="0" w:tplc="10E8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325BA"/>
    <w:multiLevelType w:val="hybridMultilevel"/>
    <w:tmpl w:val="49CEC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72060">
    <w:abstractNumId w:val="15"/>
  </w:num>
  <w:num w:numId="2" w16cid:durableId="1661731913">
    <w:abstractNumId w:val="7"/>
  </w:num>
  <w:num w:numId="3" w16cid:durableId="1216234284">
    <w:abstractNumId w:val="5"/>
  </w:num>
  <w:num w:numId="4" w16cid:durableId="842663503">
    <w:abstractNumId w:val="11"/>
  </w:num>
  <w:num w:numId="5" w16cid:durableId="609120994">
    <w:abstractNumId w:val="20"/>
  </w:num>
  <w:num w:numId="6" w16cid:durableId="143551415">
    <w:abstractNumId w:val="1"/>
  </w:num>
  <w:num w:numId="7" w16cid:durableId="357662048">
    <w:abstractNumId w:val="3"/>
  </w:num>
  <w:num w:numId="8" w16cid:durableId="639456469">
    <w:abstractNumId w:val="4"/>
  </w:num>
  <w:num w:numId="9" w16cid:durableId="929386540">
    <w:abstractNumId w:val="2"/>
  </w:num>
  <w:num w:numId="10" w16cid:durableId="1930043967">
    <w:abstractNumId w:val="13"/>
  </w:num>
  <w:num w:numId="11" w16cid:durableId="1920404507">
    <w:abstractNumId w:val="8"/>
  </w:num>
  <w:num w:numId="12" w16cid:durableId="115032197">
    <w:abstractNumId w:val="19"/>
  </w:num>
  <w:num w:numId="13" w16cid:durableId="1690334930">
    <w:abstractNumId w:val="12"/>
  </w:num>
  <w:num w:numId="14" w16cid:durableId="825778724">
    <w:abstractNumId w:val="16"/>
  </w:num>
  <w:num w:numId="15" w16cid:durableId="1360739101">
    <w:abstractNumId w:val="14"/>
  </w:num>
  <w:num w:numId="16" w16cid:durableId="351885442">
    <w:abstractNumId w:val="6"/>
  </w:num>
  <w:num w:numId="17" w16cid:durableId="902135779">
    <w:abstractNumId w:val="9"/>
  </w:num>
  <w:num w:numId="18" w16cid:durableId="1800151637">
    <w:abstractNumId w:val="17"/>
  </w:num>
  <w:num w:numId="19" w16cid:durableId="1164010717">
    <w:abstractNumId w:val="10"/>
  </w:num>
  <w:num w:numId="20" w16cid:durableId="1344553816">
    <w:abstractNumId w:val="18"/>
  </w:num>
  <w:num w:numId="21" w16cid:durableId="12700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3C"/>
    <w:rsid w:val="0000076D"/>
    <w:rsid w:val="00011005"/>
    <w:rsid w:val="00012C10"/>
    <w:rsid w:val="000133DA"/>
    <w:rsid w:val="00023C93"/>
    <w:rsid w:val="000269DF"/>
    <w:rsid w:val="00045F0B"/>
    <w:rsid w:val="0005003E"/>
    <w:rsid w:val="00053BEB"/>
    <w:rsid w:val="00054BAD"/>
    <w:rsid w:val="00055044"/>
    <w:rsid w:val="00060C15"/>
    <w:rsid w:val="0006203E"/>
    <w:rsid w:val="00064D8E"/>
    <w:rsid w:val="000668C1"/>
    <w:rsid w:val="00076028"/>
    <w:rsid w:val="0008100C"/>
    <w:rsid w:val="00084C9D"/>
    <w:rsid w:val="000874A5"/>
    <w:rsid w:val="00090C4B"/>
    <w:rsid w:val="000A7281"/>
    <w:rsid w:val="000A788C"/>
    <w:rsid w:val="000B22B7"/>
    <w:rsid w:val="000C00C8"/>
    <w:rsid w:val="000C1B25"/>
    <w:rsid w:val="000C36CA"/>
    <w:rsid w:val="000C3EF5"/>
    <w:rsid w:val="000C5AA1"/>
    <w:rsid w:val="000D17D8"/>
    <w:rsid w:val="000D2BDA"/>
    <w:rsid w:val="000D3143"/>
    <w:rsid w:val="000D57FF"/>
    <w:rsid w:val="000E107C"/>
    <w:rsid w:val="000E45AB"/>
    <w:rsid w:val="000F02AD"/>
    <w:rsid w:val="000F2B3A"/>
    <w:rsid w:val="000F63F7"/>
    <w:rsid w:val="000F73DD"/>
    <w:rsid w:val="00105A63"/>
    <w:rsid w:val="00106000"/>
    <w:rsid w:val="0011165D"/>
    <w:rsid w:val="00124FF0"/>
    <w:rsid w:val="00134B9E"/>
    <w:rsid w:val="00135AA9"/>
    <w:rsid w:val="00141A3C"/>
    <w:rsid w:val="00142696"/>
    <w:rsid w:val="00147DD8"/>
    <w:rsid w:val="001604F4"/>
    <w:rsid w:val="0016696A"/>
    <w:rsid w:val="0017011E"/>
    <w:rsid w:val="001717BA"/>
    <w:rsid w:val="00172669"/>
    <w:rsid w:val="001745C5"/>
    <w:rsid w:val="00187A0D"/>
    <w:rsid w:val="001A06D0"/>
    <w:rsid w:val="001A0AE3"/>
    <w:rsid w:val="001A15F5"/>
    <w:rsid w:val="001B18CC"/>
    <w:rsid w:val="001B21E9"/>
    <w:rsid w:val="001B49DF"/>
    <w:rsid w:val="001B72A5"/>
    <w:rsid w:val="001C5E20"/>
    <w:rsid w:val="001C6D48"/>
    <w:rsid w:val="001D04A7"/>
    <w:rsid w:val="001D21C7"/>
    <w:rsid w:val="001D3D56"/>
    <w:rsid w:val="001D3FAD"/>
    <w:rsid w:val="001D407B"/>
    <w:rsid w:val="001D42E9"/>
    <w:rsid w:val="001D541D"/>
    <w:rsid w:val="001D7B69"/>
    <w:rsid w:val="001E0FE9"/>
    <w:rsid w:val="001E71DE"/>
    <w:rsid w:val="001F423D"/>
    <w:rsid w:val="001F694C"/>
    <w:rsid w:val="00206E44"/>
    <w:rsid w:val="002243BD"/>
    <w:rsid w:val="00227997"/>
    <w:rsid w:val="0023025C"/>
    <w:rsid w:val="002311B1"/>
    <w:rsid w:val="00231BDF"/>
    <w:rsid w:val="00233A2C"/>
    <w:rsid w:val="0024245E"/>
    <w:rsid w:val="00245AF0"/>
    <w:rsid w:val="00247C78"/>
    <w:rsid w:val="00252686"/>
    <w:rsid w:val="00252AD5"/>
    <w:rsid w:val="00260C80"/>
    <w:rsid w:val="00264895"/>
    <w:rsid w:val="00264E10"/>
    <w:rsid w:val="00267EE9"/>
    <w:rsid w:val="00273853"/>
    <w:rsid w:val="00274039"/>
    <w:rsid w:val="00276BB9"/>
    <w:rsid w:val="0028179A"/>
    <w:rsid w:val="0028235C"/>
    <w:rsid w:val="00283829"/>
    <w:rsid w:val="00284532"/>
    <w:rsid w:val="002856AE"/>
    <w:rsid w:val="00297032"/>
    <w:rsid w:val="00297A5C"/>
    <w:rsid w:val="002A33CD"/>
    <w:rsid w:val="002A5723"/>
    <w:rsid w:val="002A72C9"/>
    <w:rsid w:val="002B0D13"/>
    <w:rsid w:val="002B1194"/>
    <w:rsid w:val="002B1756"/>
    <w:rsid w:val="002D0963"/>
    <w:rsid w:val="002D167A"/>
    <w:rsid w:val="002D377F"/>
    <w:rsid w:val="002D4EDC"/>
    <w:rsid w:val="002E172C"/>
    <w:rsid w:val="002E77EE"/>
    <w:rsid w:val="002F6A3E"/>
    <w:rsid w:val="00307D09"/>
    <w:rsid w:val="00310B26"/>
    <w:rsid w:val="00315C8B"/>
    <w:rsid w:val="003208D0"/>
    <w:rsid w:val="0032361F"/>
    <w:rsid w:val="00332B20"/>
    <w:rsid w:val="00333358"/>
    <w:rsid w:val="00354587"/>
    <w:rsid w:val="00365728"/>
    <w:rsid w:val="0036787E"/>
    <w:rsid w:val="00372BE1"/>
    <w:rsid w:val="00383A87"/>
    <w:rsid w:val="00384B52"/>
    <w:rsid w:val="00390971"/>
    <w:rsid w:val="00391236"/>
    <w:rsid w:val="00392F3A"/>
    <w:rsid w:val="003A0A88"/>
    <w:rsid w:val="003B43D3"/>
    <w:rsid w:val="003B6AEE"/>
    <w:rsid w:val="003C1BED"/>
    <w:rsid w:val="003D42DE"/>
    <w:rsid w:val="003D4DEA"/>
    <w:rsid w:val="003E20B3"/>
    <w:rsid w:val="003E24DB"/>
    <w:rsid w:val="003E73A0"/>
    <w:rsid w:val="003F2D0F"/>
    <w:rsid w:val="003F6F56"/>
    <w:rsid w:val="003F7595"/>
    <w:rsid w:val="00400F96"/>
    <w:rsid w:val="004053A5"/>
    <w:rsid w:val="00406252"/>
    <w:rsid w:val="00410BDE"/>
    <w:rsid w:val="00410FBE"/>
    <w:rsid w:val="00416FF9"/>
    <w:rsid w:val="004172ED"/>
    <w:rsid w:val="00422776"/>
    <w:rsid w:val="00426AB6"/>
    <w:rsid w:val="00435C21"/>
    <w:rsid w:val="00437E96"/>
    <w:rsid w:val="0044708F"/>
    <w:rsid w:val="00447879"/>
    <w:rsid w:val="00451A18"/>
    <w:rsid w:val="0045715E"/>
    <w:rsid w:val="004611E5"/>
    <w:rsid w:val="00461EA2"/>
    <w:rsid w:val="00462603"/>
    <w:rsid w:val="00462E15"/>
    <w:rsid w:val="00465529"/>
    <w:rsid w:val="00466AB1"/>
    <w:rsid w:val="0047416C"/>
    <w:rsid w:val="00477319"/>
    <w:rsid w:val="00477BA0"/>
    <w:rsid w:val="00480FA0"/>
    <w:rsid w:val="0048676F"/>
    <w:rsid w:val="004869BA"/>
    <w:rsid w:val="00486BF5"/>
    <w:rsid w:val="00490527"/>
    <w:rsid w:val="004958EB"/>
    <w:rsid w:val="0049682F"/>
    <w:rsid w:val="004A5674"/>
    <w:rsid w:val="004A6EFC"/>
    <w:rsid w:val="004B0EC8"/>
    <w:rsid w:val="004B2828"/>
    <w:rsid w:val="004B5998"/>
    <w:rsid w:val="004C3038"/>
    <w:rsid w:val="004D032D"/>
    <w:rsid w:val="004E7E5B"/>
    <w:rsid w:val="004F05BB"/>
    <w:rsid w:val="004F3653"/>
    <w:rsid w:val="004F4389"/>
    <w:rsid w:val="004F5C56"/>
    <w:rsid w:val="0050255A"/>
    <w:rsid w:val="00503683"/>
    <w:rsid w:val="00504CB2"/>
    <w:rsid w:val="0050725B"/>
    <w:rsid w:val="0051074E"/>
    <w:rsid w:val="00510E9C"/>
    <w:rsid w:val="00515F73"/>
    <w:rsid w:val="0052063B"/>
    <w:rsid w:val="00524D7F"/>
    <w:rsid w:val="00527575"/>
    <w:rsid w:val="00534CCC"/>
    <w:rsid w:val="00554C09"/>
    <w:rsid w:val="0055593C"/>
    <w:rsid w:val="00564137"/>
    <w:rsid w:val="0056514A"/>
    <w:rsid w:val="00566490"/>
    <w:rsid w:val="0056678E"/>
    <w:rsid w:val="00566B35"/>
    <w:rsid w:val="0056769D"/>
    <w:rsid w:val="00570BE5"/>
    <w:rsid w:val="0057593B"/>
    <w:rsid w:val="00582FDF"/>
    <w:rsid w:val="005839A4"/>
    <w:rsid w:val="005943BB"/>
    <w:rsid w:val="00596D4F"/>
    <w:rsid w:val="00596ECF"/>
    <w:rsid w:val="005A1B96"/>
    <w:rsid w:val="005A4148"/>
    <w:rsid w:val="005A6288"/>
    <w:rsid w:val="005A71E0"/>
    <w:rsid w:val="005A7CF1"/>
    <w:rsid w:val="005B1BD1"/>
    <w:rsid w:val="005B449E"/>
    <w:rsid w:val="005B541C"/>
    <w:rsid w:val="005B7704"/>
    <w:rsid w:val="005C2DF4"/>
    <w:rsid w:val="005C3D93"/>
    <w:rsid w:val="005C6F4B"/>
    <w:rsid w:val="005D0026"/>
    <w:rsid w:val="005D2838"/>
    <w:rsid w:val="005D53BC"/>
    <w:rsid w:val="005D569A"/>
    <w:rsid w:val="005E2A9E"/>
    <w:rsid w:val="005E300B"/>
    <w:rsid w:val="005E3F0F"/>
    <w:rsid w:val="005E3F63"/>
    <w:rsid w:val="005E429A"/>
    <w:rsid w:val="005E45DF"/>
    <w:rsid w:val="005F0B11"/>
    <w:rsid w:val="005F1A4D"/>
    <w:rsid w:val="005F1B1E"/>
    <w:rsid w:val="005F3F03"/>
    <w:rsid w:val="005F45A7"/>
    <w:rsid w:val="00600C7D"/>
    <w:rsid w:val="00612690"/>
    <w:rsid w:val="00613A95"/>
    <w:rsid w:val="006156AC"/>
    <w:rsid w:val="006229ED"/>
    <w:rsid w:val="00630F33"/>
    <w:rsid w:val="006321BB"/>
    <w:rsid w:val="00635738"/>
    <w:rsid w:val="0063623B"/>
    <w:rsid w:val="006363C3"/>
    <w:rsid w:val="00636B41"/>
    <w:rsid w:val="00643621"/>
    <w:rsid w:val="006452CF"/>
    <w:rsid w:val="006453A7"/>
    <w:rsid w:val="0064586B"/>
    <w:rsid w:val="00645CA5"/>
    <w:rsid w:val="0065128E"/>
    <w:rsid w:val="006518C3"/>
    <w:rsid w:val="00651CC9"/>
    <w:rsid w:val="00653E70"/>
    <w:rsid w:val="006563CA"/>
    <w:rsid w:val="00662DA0"/>
    <w:rsid w:val="006669DF"/>
    <w:rsid w:val="00692590"/>
    <w:rsid w:val="00695AE4"/>
    <w:rsid w:val="00696B01"/>
    <w:rsid w:val="006A61BE"/>
    <w:rsid w:val="006B07DA"/>
    <w:rsid w:val="006B1C3D"/>
    <w:rsid w:val="006B2993"/>
    <w:rsid w:val="006C01C9"/>
    <w:rsid w:val="006C2A7B"/>
    <w:rsid w:val="006D2CC0"/>
    <w:rsid w:val="006D3F0D"/>
    <w:rsid w:val="006D4858"/>
    <w:rsid w:val="006E275B"/>
    <w:rsid w:val="006E2C7C"/>
    <w:rsid w:val="006F5DA0"/>
    <w:rsid w:val="00700A5C"/>
    <w:rsid w:val="00701199"/>
    <w:rsid w:val="0070635B"/>
    <w:rsid w:val="00707E43"/>
    <w:rsid w:val="00713F7E"/>
    <w:rsid w:val="00724046"/>
    <w:rsid w:val="00724918"/>
    <w:rsid w:val="007308F2"/>
    <w:rsid w:val="00730BB8"/>
    <w:rsid w:val="00734AC4"/>
    <w:rsid w:val="0073629C"/>
    <w:rsid w:val="0074039E"/>
    <w:rsid w:val="00740C72"/>
    <w:rsid w:val="007441DD"/>
    <w:rsid w:val="00744E53"/>
    <w:rsid w:val="00754CF0"/>
    <w:rsid w:val="00755D6D"/>
    <w:rsid w:val="00756002"/>
    <w:rsid w:val="00757CA5"/>
    <w:rsid w:val="00761856"/>
    <w:rsid w:val="007630A2"/>
    <w:rsid w:val="00765446"/>
    <w:rsid w:val="0077217E"/>
    <w:rsid w:val="00774E05"/>
    <w:rsid w:val="00780CFA"/>
    <w:rsid w:val="00782238"/>
    <w:rsid w:val="00782F3F"/>
    <w:rsid w:val="00790FE2"/>
    <w:rsid w:val="0079304A"/>
    <w:rsid w:val="00794FA5"/>
    <w:rsid w:val="007A0409"/>
    <w:rsid w:val="007A28B7"/>
    <w:rsid w:val="007A458D"/>
    <w:rsid w:val="007A73D6"/>
    <w:rsid w:val="007B2C0F"/>
    <w:rsid w:val="007B5B8B"/>
    <w:rsid w:val="007C0E59"/>
    <w:rsid w:val="007D0041"/>
    <w:rsid w:val="007D1565"/>
    <w:rsid w:val="007D1CCE"/>
    <w:rsid w:val="007D4600"/>
    <w:rsid w:val="007F5AEA"/>
    <w:rsid w:val="00800333"/>
    <w:rsid w:val="00800ABE"/>
    <w:rsid w:val="008055E0"/>
    <w:rsid w:val="00805F2B"/>
    <w:rsid w:val="0080600B"/>
    <w:rsid w:val="00806189"/>
    <w:rsid w:val="00810837"/>
    <w:rsid w:val="00814C0E"/>
    <w:rsid w:val="00822174"/>
    <w:rsid w:val="008306E9"/>
    <w:rsid w:val="008350A7"/>
    <w:rsid w:val="00840A14"/>
    <w:rsid w:val="00847905"/>
    <w:rsid w:val="00862966"/>
    <w:rsid w:val="008668CF"/>
    <w:rsid w:val="008678E1"/>
    <w:rsid w:val="0087011E"/>
    <w:rsid w:val="00871F0F"/>
    <w:rsid w:val="00881BEF"/>
    <w:rsid w:val="008839C1"/>
    <w:rsid w:val="008855BA"/>
    <w:rsid w:val="00890C7D"/>
    <w:rsid w:val="00893934"/>
    <w:rsid w:val="008A0089"/>
    <w:rsid w:val="008A2DA5"/>
    <w:rsid w:val="008A433F"/>
    <w:rsid w:val="008A5E17"/>
    <w:rsid w:val="008A6CC7"/>
    <w:rsid w:val="008B270F"/>
    <w:rsid w:val="008B4E7D"/>
    <w:rsid w:val="008B7787"/>
    <w:rsid w:val="008C384C"/>
    <w:rsid w:val="008D018D"/>
    <w:rsid w:val="008D33A6"/>
    <w:rsid w:val="008D7ADA"/>
    <w:rsid w:val="008E5A1D"/>
    <w:rsid w:val="008E6499"/>
    <w:rsid w:val="008F00D1"/>
    <w:rsid w:val="008F4018"/>
    <w:rsid w:val="009008B9"/>
    <w:rsid w:val="0090149B"/>
    <w:rsid w:val="00904455"/>
    <w:rsid w:val="00904BA1"/>
    <w:rsid w:val="00905BF6"/>
    <w:rsid w:val="009067F0"/>
    <w:rsid w:val="00910054"/>
    <w:rsid w:val="009111BB"/>
    <w:rsid w:val="00912303"/>
    <w:rsid w:val="00913CFD"/>
    <w:rsid w:val="009153EC"/>
    <w:rsid w:val="0092149F"/>
    <w:rsid w:val="00923C8B"/>
    <w:rsid w:val="009254F4"/>
    <w:rsid w:val="00936003"/>
    <w:rsid w:val="009370D6"/>
    <w:rsid w:val="009378C2"/>
    <w:rsid w:val="009411B6"/>
    <w:rsid w:val="00943C5B"/>
    <w:rsid w:val="0095024F"/>
    <w:rsid w:val="0095181B"/>
    <w:rsid w:val="009535C4"/>
    <w:rsid w:val="00953A33"/>
    <w:rsid w:val="00956DC6"/>
    <w:rsid w:val="00957277"/>
    <w:rsid w:val="00963B30"/>
    <w:rsid w:val="009641E6"/>
    <w:rsid w:val="009671FE"/>
    <w:rsid w:val="00973935"/>
    <w:rsid w:val="00974551"/>
    <w:rsid w:val="00975708"/>
    <w:rsid w:val="00982DD0"/>
    <w:rsid w:val="00982E97"/>
    <w:rsid w:val="00984710"/>
    <w:rsid w:val="00990C62"/>
    <w:rsid w:val="00995EE0"/>
    <w:rsid w:val="00996646"/>
    <w:rsid w:val="00997380"/>
    <w:rsid w:val="009A298E"/>
    <w:rsid w:val="009A5D6C"/>
    <w:rsid w:val="009B0C3B"/>
    <w:rsid w:val="009B65E1"/>
    <w:rsid w:val="009B706A"/>
    <w:rsid w:val="009B70C4"/>
    <w:rsid w:val="009C225C"/>
    <w:rsid w:val="009C26A4"/>
    <w:rsid w:val="009D0236"/>
    <w:rsid w:val="009D1926"/>
    <w:rsid w:val="009D1A96"/>
    <w:rsid w:val="009D212C"/>
    <w:rsid w:val="009D414F"/>
    <w:rsid w:val="009E44AE"/>
    <w:rsid w:val="009E45E7"/>
    <w:rsid w:val="009E5C93"/>
    <w:rsid w:val="009E7A9D"/>
    <w:rsid w:val="009F321F"/>
    <w:rsid w:val="009F3D9C"/>
    <w:rsid w:val="009F79E9"/>
    <w:rsid w:val="00A031D8"/>
    <w:rsid w:val="00A0520F"/>
    <w:rsid w:val="00A22486"/>
    <w:rsid w:val="00A250DB"/>
    <w:rsid w:val="00A25CC4"/>
    <w:rsid w:val="00A32CFC"/>
    <w:rsid w:val="00A32FEB"/>
    <w:rsid w:val="00A36761"/>
    <w:rsid w:val="00A37E06"/>
    <w:rsid w:val="00A47AA4"/>
    <w:rsid w:val="00A50E9F"/>
    <w:rsid w:val="00A52305"/>
    <w:rsid w:val="00A52700"/>
    <w:rsid w:val="00A55305"/>
    <w:rsid w:val="00A56863"/>
    <w:rsid w:val="00A7620D"/>
    <w:rsid w:val="00A81279"/>
    <w:rsid w:val="00A848D9"/>
    <w:rsid w:val="00A862A6"/>
    <w:rsid w:val="00A87D37"/>
    <w:rsid w:val="00A928FF"/>
    <w:rsid w:val="00AA3179"/>
    <w:rsid w:val="00AA67F9"/>
    <w:rsid w:val="00AA6F03"/>
    <w:rsid w:val="00AB00D6"/>
    <w:rsid w:val="00AB592C"/>
    <w:rsid w:val="00AB73CF"/>
    <w:rsid w:val="00AC4B75"/>
    <w:rsid w:val="00AC524B"/>
    <w:rsid w:val="00AC6069"/>
    <w:rsid w:val="00AD4B87"/>
    <w:rsid w:val="00AD5A55"/>
    <w:rsid w:val="00AD65EF"/>
    <w:rsid w:val="00AE1DDA"/>
    <w:rsid w:val="00AE28B5"/>
    <w:rsid w:val="00AE47C1"/>
    <w:rsid w:val="00AE5219"/>
    <w:rsid w:val="00AE7373"/>
    <w:rsid w:val="00AE7632"/>
    <w:rsid w:val="00AF0570"/>
    <w:rsid w:val="00AF22C5"/>
    <w:rsid w:val="00AF7CFE"/>
    <w:rsid w:val="00B06B1F"/>
    <w:rsid w:val="00B06BD8"/>
    <w:rsid w:val="00B078E9"/>
    <w:rsid w:val="00B127E0"/>
    <w:rsid w:val="00B22009"/>
    <w:rsid w:val="00B410C4"/>
    <w:rsid w:val="00B47EC4"/>
    <w:rsid w:val="00B6053D"/>
    <w:rsid w:val="00B61887"/>
    <w:rsid w:val="00B61E6B"/>
    <w:rsid w:val="00B64A89"/>
    <w:rsid w:val="00B65B5D"/>
    <w:rsid w:val="00B71E88"/>
    <w:rsid w:val="00B744A4"/>
    <w:rsid w:val="00B74BBE"/>
    <w:rsid w:val="00B75057"/>
    <w:rsid w:val="00B81FA7"/>
    <w:rsid w:val="00B825C1"/>
    <w:rsid w:val="00B83BDD"/>
    <w:rsid w:val="00B94C52"/>
    <w:rsid w:val="00BA1D5B"/>
    <w:rsid w:val="00BB3013"/>
    <w:rsid w:val="00BC14E1"/>
    <w:rsid w:val="00BC6CE0"/>
    <w:rsid w:val="00BD2828"/>
    <w:rsid w:val="00BD6989"/>
    <w:rsid w:val="00BE04D4"/>
    <w:rsid w:val="00BE5EFE"/>
    <w:rsid w:val="00BE7BE0"/>
    <w:rsid w:val="00BF04C6"/>
    <w:rsid w:val="00BF0699"/>
    <w:rsid w:val="00BF2E5B"/>
    <w:rsid w:val="00BF3620"/>
    <w:rsid w:val="00BF39C7"/>
    <w:rsid w:val="00BF4437"/>
    <w:rsid w:val="00C02470"/>
    <w:rsid w:val="00C1455D"/>
    <w:rsid w:val="00C2015B"/>
    <w:rsid w:val="00C2367E"/>
    <w:rsid w:val="00C2638E"/>
    <w:rsid w:val="00C27344"/>
    <w:rsid w:val="00C303A7"/>
    <w:rsid w:val="00C37EF9"/>
    <w:rsid w:val="00C40049"/>
    <w:rsid w:val="00C41780"/>
    <w:rsid w:val="00C429B8"/>
    <w:rsid w:val="00C4365A"/>
    <w:rsid w:val="00C45F5F"/>
    <w:rsid w:val="00C500E7"/>
    <w:rsid w:val="00C53615"/>
    <w:rsid w:val="00C63039"/>
    <w:rsid w:val="00C66247"/>
    <w:rsid w:val="00C667E2"/>
    <w:rsid w:val="00C67C07"/>
    <w:rsid w:val="00C74BAB"/>
    <w:rsid w:val="00C754A0"/>
    <w:rsid w:val="00C76901"/>
    <w:rsid w:val="00C8398A"/>
    <w:rsid w:val="00C84308"/>
    <w:rsid w:val="00C95F30"/>
    <w:rsid w:val="00CA3B0B"/>
    <w:rsid w:val="00CB268E"/>
    <w:rsid w:val="00CB557C"/>
    <w:rsid w:val="00CC33A0"/>
    <w:rsid w:val="00CC5990"/>
    <w:rsid w:val="00CC59F4"/>
    <w:rsid w:val="00CC71EC"/>
    <w:rsid w:val="00CD04F9"/>
    <w:rsid w:val="00CD2908"/>
    <w:rsid w:val="00CE37BC"/>
    <w:rsid w:val="00CF2C4D"/>
    <w:rsid w:val="00CF3E18"/>
    <w:rsid w:val="00CF3EE0"/>
    <w:rsid w:val="00D11B3C"/>
    <w:rsid w:val="00D12925"/>
    <w:rsid w:val="00D154A9"/>
    <w:rsid w:val="00D16852"/>
    <w:rsid w:val="00D17383"/>
    <w:rsid w:val="00D17E9F"/>
    <w:rsid w:val="00D2667B"/>
    <w:rsid w:val="00D31A0F"/>
    <w:rsid w:val="00D403EA"/>
    <w:rsid w:val="00D44702"/>
    <w:rsid w:val="00D4710E"/>
    <w:rsid w:val="00D555E0"/>
    <w:rsid w:val="00D62B58"/>
    <w:rsid w:val="00D66762"/>
    <w:rsid w:val="00D75553"/>
    <w:rsid w:val="00D7789D"/>
    <w:rsid w:val="00D8068E"/>
    <w:rsid w:val="00D80C66"/>
    <w:rsid w:val="00D86BD7"/>
    <w:rsid w:val="00D90183"/>
    <w:rsid w:val="00D92FA7"/>
    <w:rsid w:val="00D94E81"/>
    <w:rsid w:val="00D96141"/>
    <w:rsid w:val="00DA1CEE"/>
    <w:rsid w:val="00DA2E87"/>
    <w:rsid w:val="00DA30C5"/>
    <w:rsid w:val="00DB241A"/>
    <w:rsid w:val="00DB71A2"/>
    <w:rsid w:val="00DC05E5"/>
    <w:rsid w:val="00DC3614"/>
    <w:rsid w:val="00DC4120"/>
    <w:rsid w:val="00DC6BE1"/>
    <w:rsid w:val="00DC7419"/>
    <w:rsid w:val="00DD15EE"/>
    <w:rsid w:val="00DD3162"/>
    <w:rsid w:val="00DD6B94"/>
    <w:rsid w:val="00DE2F96"/>
    <w:rsid w:val="00DE4B63"/>
    <w:rsid w:val="00DE6C33"/>
    <w:rsid w:val="00DF7761"/>
    <w:rsid w:val="00E06711"/>
    <w:rsid w:val="00E06DC7"/>
    <w:rsid w:val="00E10542"/>
    <w:rsid w:val="00E123E1"/>
    <w:rsid w:val="00E132A2"/>
    <w:rsid w:val="00E152B1"/>
    <w:rsid w:val="00E205E5"/>
    <w:rsid w:val="00E27804"/>
    <w:rsid w:val="00E31645"/>
    <w:rsid w:val="00E31727"/>
    <w:rsid w:val="00E41A82"/>
    <w:rsid w:val="00E43C57"/>
    <w:rsid w:val="00E47E2D"/>
    <w:rsid w:val="00E528FD"/>
    <w:rsid w:val="00E6325D"/>
    <w:rsid w:val="00E63CC5"/>
    <w:rsid w:val="00E713DA"/>
    <w:rsid w:val="00E77E3E"/>
    <w:rsid w:val="00E8477A"/>
    <w:rsid w:val="00E85414"/>
    <w:rsid w:val="00E87DF4"/>
    <w:rsid w:val="00E90BCB"/>
    <w:rsid w:val="00E921D5"/>
    <w:rsid w:val="00E92FEC"/>
    <w:rsid w:val="00E944EE"/>
    <w:rsid w:val="00E95C60"/>
    <w:rsid w:val="00EA01B6"/>
    <w:rsid w:val="00EA3B32"/>
    <w:rsid w:val="00EA4C0F"/>
    <w:rsid w:val="00EA55FF"/>
    <w:rsid w:val="00EA79E0"/>
    <w:rsid w:val="00EB1014"/>
    <w:rsid w:val="00EB28C7"/>
    <w:rsid w:val="00EB5840"/>
    <w:rsid w:val="00EC2920"/>
    <w:rsid w:val="00EC5612"/>
    <w:rsid w:val="00ED101F"/>
    <w:rsid w:val="00ED7036"/>
    <w:rsid w:val="00EE639D"/>
    <w:rsid w:val="00EE74BE"/>
    <w:rsid w:val="00EF1F56"/>
    <w:rsid w:val="00EF1FAA"/>
    <w:rsid w:val="00F03689"/>
    <w:rsid w:val="00F07B06"/>
    <w:rsid w:val="00F10C35"/>
    <w:rsid w:val="00F12E2E"/>
    <w:rsid w:val="00F2209A"/>
    <w:rsid w:val="00F25DE5"/>
    <w:rsid w:val="00F26036"/>
    <w:rsid w:val="00F26D85"/>
    <w:rsid w:val="00F27BA1"/>
    <w:rsid w:val="00F331FE"/>
    <w:rsid w:val="00F34949"/>
    <w:rsid w:val="00F3693B"/>
    <w:rsid w:val="00F4324B"/>
    <w:rsid w:val="00F523A1"/>
    <w:rsid w:val="00F557B3"/>
    <w:rsid w:val="00F55F70"/>
    <w:rsid w:val="00F61131"/>
    <w:rsid w:val="00F6323C"/>
    <w:rsid w:val="00F64BE6"/>
    <w:rsid w:val="00F675BB"/>
    <w:rsid w:val="00F74930"/>
    <w:rsid w:val="00F77575"/>
    <w:rsid w:val="00F82606"/>
    <w:rsid w:val="00F938AA"/>
    <w:rsid w:val="00F93F09"/>
    <w:rsid w:val="00F97531"/>
    <w:rsid w:val="00FB41F6"/>
    <w:rsid w:val="00FB4590"/>
    <w:rsid w:val="00FC0FC8"/>
    <w:rsid w:val="00FC23E5"/>
    <w:rsid w:val="00FD1443"/>
    <w:rsid w:val="00FE45BC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863A2"/>
  <w15:chartTrackingRefBased/>
  <w15:docId w15:val="{9EB6FE65-15FE-45DF-B219-26FDF89F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C2A7B"/>
    <w:pPr>
      <w:widowControl w:val="0"/>
      <w:autoSpaceDE w:val="0"/>
      <w:autoSpaceDN w:val="0"/>
      <w:spacing w:before="116"/>
      <w:ind w:left="110"/>
      <w:jc w:val="both"/>
      <w:outlineLvl w:val="1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593C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593C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5559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2A7B"/>
    <w:rPr>
      <w:rFonts w:eastAsia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00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A5C"/>
  </w:style>
  <w:style w:type="paragraph" w:styleId="Footer">
    <w:name w:val="footer"/>
    <w:basedOn w:val="Normal"/>
    <w:link w:val="FooterChar"/>
    <w:uiPriority w:val="99"/>
    <w:unhideWhenUsed/>
    <w:rsid w:val="00700A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A5C"/>
  </w:style>
  <w:style w:type="paragraph" w:styleId="Revision">
    <w:name w:val="Revision"/>
    <w:hidden/>
    <w:uiPriority w:val="99"/>
    <w:semiHidden/>
    <w:rsid w:val="00CD04F9"/>
  </w:style>
  <w:style w:type="paragraph" w:styleId="BalloonText">
    <w:name w:val="Balloon Text"/>
    <w:basedOn w:val="Normal"/>
    <w:link w:val="BalloonTextChar"/>
    <w:uiPriority w:val="99"/>
    <w:semiHidden/>
    <w:unhideWhenUsed/>
    <w:rsid w:val="009E4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44AE"/>
    <w:rPr>
      <w:szCs w:val="22"/>
    </w:rPr>
  </w:style>
  <w:style w:type="character" w:styleId="Hyperlink">
    <w:name w:val="Hyperlink"/>
    <w:basedOn w:val="DefaultParagraphFont"/>
    <w:uiPriority w:val="99"/>
    <w:unhideWhenUsed/>
    <w:rsid w:val="009E44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4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44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4AE"/>
    <w:rPr>
      <w:color w:val="954F72"/>
      <w:u w:val="single"/>
    </w:rPr>
  </w:style>
  <w:style w:type="paragraph" w:customStyle="1" w:styleId="msonormal0">
    <w:name w:val="msonormal"/>
    <w:basedOn w:val="Normal"/>
    <w:rsid w:val="009E44AE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xl66">
    <w:name w:val="xl66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67">
    <w:name w:val="xl67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68">
    <w:name w:val="xl68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69">
    <w:name w:val="xl69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0">
    <w:name w:val="xl70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EDF2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1">
    <w:name w:val="xl71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EAEDF2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2">
    <w:name w:val="xl72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EAEDF2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3">
    <w:name w:val="xl73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4">
    <w:name w:val="xl74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5">
    <w:name w:val="xl75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6">
    <w:name w:val="xl76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7">
    <w:name w:val="xl77"/>
    <w:basedOn w:val="Normal"/>
    <w:rsid w:val="009E44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8">
    <w:name w:val="xl78"/>
    <w:basedOn w:val="Normal"/>
    <w:rsid w:val="009E44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79">
    <w:name w:val="xl79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0">
    <w:name w:val="xl80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1">
    <w:name w:val="xl81"/>
    <w:basedOn w:val="Normal"/>
    <w:rsid w:val="009E44AE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2">
    <w:name w:val="xl82"/>
    <w:basedOn w:val="Normal"/>
    <w:rsid w:val="009E44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3">
    <w:name w:val="xl83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4">
    <w:name w:val="xl84"/>
    <w:basedOn w:val="Normal"/>
    <w:rsid w:val="009E44A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5">
    <w:name w:val="xl85"/>
    <w:basedOn w:val="Normal"/>
    <w:rsid w:val="009E44AE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6">
    <w:name w:val="xl86"/>
    <w:basedOn w:val="Normal"/>
    <w:rsid w:val="009E44AE"/>
    <w:pPr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87">
    <w:name w:val="xl87"/>
    <w:basedOn w:val="Normal"/>
    <w:rsid w:val="009E4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88">
    <w:name w:val="xl88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89">
    <w:name w:val="xl89"/>
    <w:basedOn w:val="Normal"/>
    <w:rsid w:val="009E44AE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90">
    <w:name w:val="xl90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91">
    <w:name w:val="xl91"/>
    <w:basedOn w:val="Normal"/>
    <w:rsid w:val="009E44A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92">
    <w:name w:val="xl92"/>
    <w:basedOn w:val="Normal"/>
    <w:rsid w:val="009E44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93">
    <w:name w:val="xl93"/>
    <w:basedOn w:val="Normal"/>
    <w:rsid w:val="009E44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94">
    <w:name w:val="xl94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95">
    <w:name w:val="xl95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96">
    <w:name w:val="xl96"/>
    <w:basedOn w:val="Normal"/>
    <w:rsid w:val="009E44AE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97">
    <w:name w:val="xl97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DF2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98">
    <w:name w:val="xl98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99">
    <w:name w:val="xl99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00">
    <w:name w:val="xl100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01">
    <w:name w:val="xl101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02">
    <w:name w:val="xl102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03">
    <w:name w:val="xl103"/>
    <w:basedOn w:val="Normal"/>
    <w:rsid w:val="009E44AE"/>
    <w:pPr>
      <w:pBdr>
        <w:top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04">
    <w:name w:val="xl104"/>
    <w:basedOn w:val="Normal"/>
    <w:rsid w:val="009E44AE"/>
    <w:pPr>
      <w:pBdr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05">
    <w:name w:val="xl105"/>
    <w:basedOn w:val="Normal"/>
    <w:rsid w:val="009E44A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06">
    <w:name w:val="xl106"/>
    <w:basedOn w:val="Normal"/>
    <w:rsid w:val="009E44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07">
    <w:name w:val="xl107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08">
    <w:name w:val="xl108"/>
    <w:basedOn w:val="Normal"/>
    <w:rsid w:val="009E44AE"/>
    <w:pPr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09">
    <w:name w:val="xl109"/>
    <w:basedOn w:val="Normal"/>
    <w:rsid w:val="009E44AE"/>
    <w:pPr>
      <w:pBdr>
        <w:top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10">
    <w:name w:val="xl110"/>
    <w:basedOn w:val="Normal"/>
    <w:rsid w:val="009E44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12">
    <w:name w:val="xl112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13">
    <w:name w:val="xl113"/>
    <w:basedOn w:val="Normal"/>
    <w:rsid w:val="009E44AE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14">
    <w:name w:val="xl114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15">
    <w:name w:val="xl115"/>
    <w:basedOn w:val="Normal"/>
    <w:rsid w:val="009E44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EAAAA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16">
    <w:name w:val="xl116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EAAAA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17">
    <w:name w:val="xl117"/>
    <w:basedOn w:val="Normal"/>
    <w:rsid w:val="009E44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18">
    <w:name w:val="xl118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9BC2E6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19">
    <w:name w:val="xl119"/>
    <w:basedOn w:val="Normal"/>
    <w:rsid w:val="009E44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20">
    <w:name w:val="xl120"/>
    <w:basedOn w:val="Normal"/>
    <w:rsid w:val="009E44AE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4B084"/>
      <w:spacing w:before="100" w:beforeAutospacing="1" w:after="100" w:afterAutospacing="1"/>
      <w:textAlignment w:val="center"/>
    </w:pPr>
    <w:rPr>
      <w:rFonts w:eastAsia="Times New Roman"/>
      <w:color w:val="FF0000"/>
      <w:sz w:val="20"/>
      <w:szCs w:val="20"/>
      <w:lang w:val="en-US"/>
    </w:rPr>
  </w:style>
  <w:style w:type="paragraph" w:customStyle="1" w:styleId="xl121">
    <w:name w:val="xl121"/>
    <w:basedOn w:val="Normal"/>
    <w:rsid w:val="009E44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2">
    <w:name w:val="xl122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3">
    <w:name w:val="xl123"/>
    <w:basedOn w:val="Normal"/>
    <w:rsid w:val="009E44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4">
    <w:name w:val="xl124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5">
    <w:name w:val="xl125"/>
    <w:basedOn w:val="Normal"/>
    <w:rsid w:val="009E44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6">
    <w:name w:val="xl126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7">
    <w:name w:val="xl127"/>
    <w:basedOn w:val="Normal"/>
    <w:rsid w:val="009E44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8">
    <w:name w:val="xl128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29">
    <w:name w:val="xl129"/>
    <w:basedOn w:val="Normal"/>
    <w:rsid w:val="009E44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paragraph" w:customStyle="1" w:styleId="xl130">
    <w:name w:val="xl130"/>
    <w:basedOn w:val="Normal"/>
    <w:rsid w:val="009E44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D4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4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4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DDEEA355C5244B78BED73F74F0C6A" ma:contentTypeVersion="13" ma:contentTypeDescription="Stvaranje novog dokumenta." ma:contentTypeScope="" ma:versionID="3fd5c2788f2ddbf182866ca4b1207407">
  <xsd:schema xmlns:xsd="http://www.w3.org/2001/XMLSchema" xmlns:xs="http://www.w3.org/2001/XMLSchema" xmlns:p="http://schemas.microsoft.com/office/2006/metadata/properties" xmlns:ns2="62becff4-d713-4836-946c-6a8cb2fe9b43" xmlns:ns3="6598515d-9c9f-4567-a9f4-aab70a9be7be" targetNamespace="http://schemas.microsoft.com/office/2006/metadata/properties" ma:root="true" ma:fieldsID="ff31406f3f1025f1ad28bbc98dc5daa8" ns2:_="" ns3:_="">
    <xsd:import namespace="62becff4-d713-4836-946c-6a8cb2fe9b43"/>
    <xsd:import namespace="6598515d-9c9f-4567-a9f4-aab70a9be7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cff4-d713-4836-946c-6a8cb2fe9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4348d4ca-462d-4bf8-9029-df4696eb0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8515d-9c9f-4567-a9f4-aab70a9be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f84fe5-0c02-41eb-aefb-7ab9ed366e25}" ma:internalName="TaxCatchAll" ma:showField="CatchAllData" ma:web="6598515d-9c9f-4567-a9f4-aab70a9be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8515d-9c9f-4567-a9f4-aab70a9be7be" xsi:nil="true"/>
    <lcf76f155ced4ddcb4097134ff3c332f xmlns="62becff4-d713-4836-946c-6a8cb2fe9b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B6CC97-9F84-4898-B8CF-917F6B753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ecff4-d713-4836-946c-6a8cb2fe9b43"/>
    <ds:schemaRef ds:uri="6598515d-9c9f-4567-a9f4-aab70a9be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6032E8-2CDF-47AA-8FE3-EA738AD955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00E90-0284-4101-A1C5-49BDD86E2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4F725-1591-4681-B0AB-B8C047DB5D76}">
  <ds:schemaRefs>
    <ds:schemaRef ds:uri="http://schemas.microsoft.com/office/2006/metadata/properties"/>
    <ds:schemaRef ds:uri="http://schemas.microsoft.com/office/infopath/2007/PartnerControls"/>
    <ds:schemaRef ds:uri="6598515d-9c9f-4567-a9f4-aab70a9be7be"/>
    <ds:schemaRef ds:uri="62becff4-d713-4836-946c-6a8cb2fe9b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 Čuljak</dc:creator>
  <cp:keywords/>
  <dc:description/>
  <cp:lastModifiedBy>Andrija Čuljak</cp:lastModifiedBy>
  <cp:revision>325</cp:revision>
  <cp:lastPrinted>2022-11-14T12:45:00Z</cp:lastPrinted>
  <dcterms:created xsi:type="dcterms:W3CDTF">2022-10-10T04:32:00Z</dcterms:created>
  <dcterms:modified xsi:type="dcterms:W3CDTF">2022-12-16T10:40:00Z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0x010100754DDEEA355C5244B78BED73F74F0C6A</vt:lpwstr>
  </property>
  <property fmtid="{D5CDD505-2E9C-101B-9397-08002B2CF9AE}" pid="3" name="MediaServiceImageTags">
    <vt:lpwstr/>
  </property>
</Properties>
</file>